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960AE" w14:textId="77777777" w:rsidR="00A764BB" w:rsidRPr="008D7FF0" w:rsidRDefault="00A764BB" w:rsidP="00A764BB">
      <w:pPr>
        <w:jc w:val="center"/>
        <w:rPr>
          <w:b/>
          <w:i/>
        </w:rPr>
      </w:pPr>
      <w:r w:rsidRPr="008D7FF0">
        <w:rPr>
          <w:b/>
          <w:i/>
        </w:rPr>
        <w:t>HEAD START ANNUAL REPORT</w:t>
      </w:r>
    </w:p>
    <w:p w14:paraId="77BEAAA8" w14:textId="683527AD" w:rsidR="00A764BB" w:rsidRPr="008D7FF0" w:rsidRDefault="00A764BB" w:rsidP="00A764BB">
      <w:pPr>
        <w:jc w:val="center"/>
        <w:rPr>
          <w:b/>
          <w:i/>
        </w:rPr>
      </w:pPr>
      <w:r w:rsidRPr="008D7FF0">
        <w:rPr>
          <w:b/>
          <w:i/>
        </w:rPr>
        <w:t>201</w:t>
      </w:r>
      <w:r w:rsidR="00DA4BA1">
        <w:rPr>
          <w:b/>
          <w:i/>
        </w:rPr>
        <w:t>8 – 2019</w:t>
      </w:r>
    </w:p>
    <w:p w14:paraId="68A5D8C1" w14:textId="77777777" w:rsidR="00A764BB" w:rsidRPr="000F6E3F" w:rsidRDefault="00A764BB" w:rsidP="00A764BB">
      <w:pPr>
        <w:jc w:val="center"/>
      </w:pPr>
    </w:p>
    <w:p w14:paraId="40010E4A" w14:textId="77777777" w:rsidR="000C7787" w:rsidRPr="002161F9" w:rsidRDefault="00A764BB" w:rsidP="000C7787">
      <w:pPr>
        <w:tabs>
          <w:tab w:val="left" w:pos="8640"/>
        </w:tabs>
      </w:pPr>
      <w:r w:rsidRPr="000F6E3F">
        <w:t xml:space="preserve">Delaware Opportunities Inc. Head Start program provides services to </w:t>
      </w:r>
      <w:r w:rsidRPr="00A07A65">
        <w:t>224</w:t>
      </w:r>
      <w:r w:rsidRPr="000F6E3F">
        <w:t xml:space="preserve"> preschool children and their families at nine locations throughout Delaware County.  The services are provided with funding from the Department of Human Services, Office of Head Start, and the Child and Adult Food Program.</w:t>
      </w:r>
      <w:r>
        <w:t xml:space="preserve">  </w:t>
      </w:r>
      <w:r w:rsidRPr="000F6E3F">
        <w:t>In the 201</w:t>
      </w:r>
      <w:r>
        <w:t>8</w:t>
      </w:r>
      <w:r w:rsidRPr="000F6E3F">
        <w:t xml:space="preserve"> - 201</w:t>
      </w:r>
      <w:r>
        <w:t>9</w:t>
      </w:r>
      <w:r w:rsidRPr="000F6E3F">
        <w:t xml:space="preserve"> budget year ending 2/28/1</w:t>
      </w:r>
      <w:r w:rsidR="00DA4BA1">
        <w:t>9</w:t>
      </w:r>
      <w:r w:rsidRPr="000F6E3F">
        <w:t xml:space="preserve"> </w:t>
      </w:r>
      <w:r w:rsidRPr="002161F9">
        <w:t>we received $2</w:t>
      </w:r>
      <w:r w:rsidR="000C7787" w:rsidRPr="002161F9">
        <w:t>,065,107</w:t>
      </w:r>
      <w:r w:rsidRPr="002161F9">
        <w:t xml:space="preserve"> from the Office of Head Start.  The comparison of the </w:t>
      </w:r>
    </w:p>
    <w:p w14:paraId="3D794958" w14:textId="6BE55E80" w:rsidR="00A764BB" w:rsidRPr="000F6E3F" w:rsidRDefault="00A764BB" w:rsidP="000C7787">
      <w:pPr>
        <w:tabs>
          <w:tab w:val="left" w:pos="8640"/>
        </w:tabs>
      </w:pPr>
      <w:r w:rsidRPr="002161F9">
        <w:t>201</w:t>
      </w:r>
      <w:r w:rsidR="00DA4BA1" w:rsidRPr="002161F9">
        <w:t>7</w:t>
      </w:r>
      <w:r w:rsidR="000C7787" w:rsidRPr="002161F9">
        <w:t xml:space="preserve"> - </w:t>
      </w:r>
      <w:r w:rsidRPr="002161F9">
        <w:t>201</w:t>
      </w:r>
      <w:r w:rsidR="00DA4BA1" w:rsidRPr="002161F9">
        <w:t>8</w:t>
      </w:r>
      <w:r w:rsidRPr="002161F9">
        <w:t xml:space="preserve"> Head Start budget to expenditures and the approved 201</w:t>
      </w:r>
      <w:r w:rsidR="00DA4BA1" w:rsidRPr="002161F9">
        <w:t>8</w:t>
      </w:r>
      <w:r w:rsidR="000C7787" w:rsidRPr="002161F9">
        <w:t xml:space="preserve"> </w:t>
      </w:r>
      <w:r w:rsidRPr="002161F9">
        <w:t>-</w:t>
      </w:r>
      <w:r w:rsidR="000C7787" w:rsidRPr="002161F9">
        <w:t xml:space="preserve"> </w:t>
      </w:r>
      <w:r w:rsidRPr="002161F9">
        <w:t>201</w:t>
      </w:r>
      <w:r w:rsidR="00DA4BA1" w:rsidRPr="002161F9">
        <w:t>9</w:t>
      </w:r>
      <w:r w:rsidRPr="002161F9">
        <w:t xml:space="preserve"> </w:t>
      </w:r>
      <w:r w:rsidR="000C7787" w:rsidRPr="002161F9">
        <w:t xml:space="preserve">and expenditures </w:t>
      </w:r>
      <w:r w:rsidRPr="002161F9">
        <w:t>are as follows:</w:t>
      </w:r>
    </w:p>
    <w:p w14:paraId="70FF77A7" w14:textId="77777777" w:rsidR="00A764BB" w:rsidRDefault="00A764BB" w:rsidP="00A07A65">
      <w:pPr>
        <w:jc w:val="right"/>
      </w:pPr>
    </w:p>
    <w:tbl>
      <w:tblPr>
        <w:tblW w:w="8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296"/>
        <w:gridCol w:w="1620"/>
        <w:gridCol w:w="1980"/>
        <w:gridCol w:w="1980"/>
      </w:tblGrid>
      <w:tr w:rsidR="00A07A65" w14:paraId="74F01219" w14:textId="75FCAED8" w:rsidTr="00A07A65">
        <w:tc>
          <w:tcPr>
            <w:tcW w:w="1485" w:type="dxa"/>
            <w:tcBorders>
              <w:bottom w:val="single" w:sz="4" w:space="0" w:color="auto"/>
            </w:tcBorders>
          </w:tcPr>
          <w:p w14:paraId="139E34D6" w14:textId="77777777" w:rsidR="00A07A65" w:rsidRPr="00A764BB" w:rsidRDefault="00A07A65" w:rsidP="00A07A65">
            <w:pPr>
              <w:jc w:val="right"/>
              <w:rPr>
                <w:highlight w:val="yellow"/>
              </w:rPr>
            </w:pPr>
          </w:p>
        </w:tc>
        <w:tc>
          <w:tcPr>
            <w:tcW w:w="1296" w:type="dxa"/>
            <w:shd w:val="clear" w:color="auto" w:fill="99CCFF"/>
          </w:tcPr>
          <w:p w14:paraId="375DB043" w14:textId="7314CB15" w:rsidR="00A07A65" w:rsidRPr="00A764BB" w:rsidRDefault="00A07A65" w:rsidP="00A07A65">
            <w:pPr>
              <w:jc w:val="center"/>
              <w:rPr>
                <w:highlight w:val="yellow"/>
              </w:rPr>
            </w:pPr>
            <w:r w:rsidRPr="00A07A65">
              <w:t>2017-2018 Budget</w:t>
            </w:r>
          </w:p>
        </w:tc>
        <w:tc>
          <w:tcPr>
            <w:tcW w:w="1620" w:type="dxa"/>
            <w:shd w:val="clear" w:color="auto" w:fill="99CCFF"/>
          </w:tcPr>
          <w:p w14:paraId="203FCEDC" w14:textId="77777777" w:rsidR="00A07A65" w:rsidRPr="002161F9" w:rsidRDefault="00A07A65" w:rsidP="00A07A65">
            <w:pPr>
              <w:jc w:val="center"/>
            </w:pPr>
            <w:r w:rsidRPr="002161F9">
              <w:t>Total Expenses</w:t>
            </w:r>
          </w:p>
        </w:tc>
        <w:tc>
          <w:tcPr>
            <w:tcW w:w="1980" w:type="dxa"/>
            <w:shd w:val="clear" w:color="auto" w:fill="99CCFF"/>
          </w:tcPr>
          <w:p w14:paraId="4AEFA391" w14:textId="2A13ACD3" w:rsidR="00A07A65" w:rsidRPr="00A07A65" w:rsidRDefault="00A07A65" w:rsidP="00A07A65">
            <w:pPr>
              <w:jc w:val="center"/>
            </w:pPr>
            <w:r w:rsidRPr="00A07A65">
              <w:t>2018-2019</w:t>
            </w:r>
          </w:p>
          <w:p w14:paraId="6662BCC0" w14:textId="77777777" w:rsidR="00A07A65" w:rsidRPr="00A07A65" w:rsidRDefault="00A07A65" w:rsidP="00A07A65">
            <w:pPr>
              <w:jc w:val="center"/>
            </w:pPr>
            <w:r w:rsidRPr="00A07A65">
              <w:t>Budget</w:t>
            </w:r>
          </w:p>
        </w:tc>
        <w:tc>
          <w:tcPr>
            <w:tcW w:w="1980" w:type="dxa"/>
            <w:shd w:val="clear" w:color="auto" w:fill="99CCFF"/>
          </w:tcPr>
          <w:p w14:paraId="2ACECE8E" w14:textId="5F2FCCD3" w:rsidR="00A07A65" w:rsidRPr="00A07A65" w:rsidRDefault="00A07A65" w:rsidP="00A07A65">
            <w:pPr>
              <w:jc w:val="center"/>
            </w:pPr>
            <w:r w:rsidRPr="00A07A65">
              <w:t>Total</w:t>
            </w:r>
          </w:p>
          <w:p w14:paraId="79CC926C" w14:textId="45F4E631" w:rsidR="00A07A65" w:rsidRPr="00A07A65" w:rsidRDefault="00A07A65" w:rsidP="00A07A65">
            <w:pPr>
              <w:jc w:val="center"/>
            </w:pPr>
            <w:r w:rsidRPr="00A07A65">
              <w:t>Expenses</w:t>
            </w:r>
          </w:p>
        </w:tc>
      </w:tr>
      <w:tr w:rsidR="00A07A65" w14:paraId="257049C9" w14:textId="381A201D" w:rsidTr="00A07A65">
        <w:tc>
          <w:tcPr>
            <w:tcW w:w="1485" w:type="dxa"/>
            <w:shd w:val="clear" w:color="auto" w:fill="99CCFF"/>
          </w:tcPr>
          <w:p w14:paraId="38F34F0E" w14:textId="77777777" w:rsidR="00A07A65" w:rsidRPr="00A07A65" w:rsidRDefault="00A07A65" w:rsidP="00A07A65">
            <w:pPr>
              <w:jc w:val="right"/>
            </w:pPr>
            <w:r w:rsidRPr="00A07A65">
              <w:t>Salary</w:t>
            </w:r>
          </w:p>
        </w:tc>
        <w:tc>
          <w:tcPr>
            <w:tcW w:w="1296" w:type="dxa"/>
          </w:tcPr>
          <w:p w14:paraId="692C9D3B" w14:textId="5DF35919" w:rsidR="00A07A65" w:rsidRPr="00A07A65" w:rsidRDefault="00A07A65" w:rsidP="00A07A65">
            <w:pPr>
              <w:jc w:val="right"/>
            </w:pPr>
            <w:r w:rsidRPr="00A07A65">
              <w:t>1,332,110</w:t>
            </w:r>
          </w:p>
        </w:tc>
        <w:tc>
          <w:tcPr>
            <w:tcW w:w="1620" w:type="dxa"/>
          </w:tcPr>
          <w:p w14:paraId="6F98D5C5" w14:textId="10E6DBD2" w:rsidR="00A07A65" w:rsidRPr="002161F9" w:rsidRDefault="002161F9" w:rsidP="00A07A65">
            <w:pPr>
              <w:jc w:val="right"/>
            </w:pPr>
            <w:r>
              <w:t>1,191,682</w:t>
            </w:r>
          </w:p>
        </w:tc>
        <w:tc>
          <w:tcPr>
            <w:tcW w:w="1980" w:type="dxa"/>
          </w:tcPr>
          <w:p w14:paraId="554DD1A3" w14:textId="2584F07F" w:rsidR="00A07A65" w:rsidRPr="002161F9" w:rsidRDefault="00A07A65" w:rsidP="00A07A65">
            <w:pPr>
              <w:jc w:val="right"/>
            </w:pPr>
            <w:r w:rsidRPr="002161F9">
              <w:t>1,370,416</w:t>
            </w:r>
          </w:p>
        </w:tc>
        <w:tc>
          <w:tcPr>
            <w:tcW w:w="1980" w:type="dxa"/>
          </w:tcPr>
          <w:p w14:paraId="5D4EBB25" w14:textId="32CEC22F" w:rsidR="00A07A65" w:rsidRPr="000C7787" w:rsidRDefault="00A07A65" w:rsidP="00A07A65">
            <w:pPr>
              <w:jc w:val="right"/>
            </w:pPr>
            <w:r w:rsidRPr="000C7787">
              <w:t>1,284,447</w:t>
            </w:r>
          </w:p>
        </w:tc>
      </w:tr>
      <w:tr w:rsidR="00A07A65" w14:paraId="09A1A29A" w14:textId="306E66A4" w:rsidTr="00A07A65">
        <w:tc>
          <w:tcPr>
            <w:tcW w:w="1485" w:type="dxa"/>
            <w:shd w:val="clear" w:color="auto" w:fill="99CCFF"/>
          </w:tcPr>
          <w:p w14:paraId="5FCB6940" w14:textId="77777777" w:rsidR="00A07A65" w:rsidRPr="00A07A65" w:rsidRDefault="00A07A65" w:rsidP="00A07A65">
            <w:pPr>
              <w:jc w:val="right"/>
            </w:pPr>
            <w:r w:rsidRPr="00A07A65">
              <w:t>Fringe Benefits</w:t>
            </w:r>
          </w:p>
        </w:tc>
        <w:tc>
          <w:tcPr>
            <w:tcW w:w="1296" w:type="dxa"/>
          </w:tcPr>
          <w:p w14:paraId="1991B629" w14:textId="77777777" w:rsidR="00A07A65" w:rsidRPr="00A07A65" w:rsidRDefault="00A07A65" w:rsidP="00A07A65">
            <w:pPr>
              <w:jc w:val="right"/>
            </w:pPr>
          </w:p>
          <w:p w14:paraId="06060AAE" w14:textId="58CC5760" w:rsidR="00A07A65" w:rsidRPr="00A07A65" w:rsidRDefault="00A07A65" w:rsidP="00A07A65">
            <w:pPr>
              <w:jc w:val="right"/>
            </w:pPr>
            <w:r w:rsidRPr="00A07A65">
              <w:t>435,235</w:t>
            </w:r>
          </w:p>
        </w:tc>
        <w:tc>
          <w:tcPr>
            <w:tcW w:w="1620" w:type="dxa"/>
          </w:tcPr>
          <w:p w14:paraId="30D46923" w14:textId="3240DCCF" w:rsidR="00A07A65" w:rsidRPr="002161F9" w:rsidRDefault="00A07A65" w:rsidP="00A07A65">
            <w:pPr>
              <w:jc w:val="right"/>
            </w:pPr>
          </w:p>
          <w:p w14:paraId="5FD238D5" w14:textId="038BBF90" w:rsidR="00A07A65" w:rsidRPr="002161F9" w:rsidRDefault="002161F9" w:rsidP="00A07A65">
            <w:pPr>
              <w:jc w:val="right"/>
            </w:pPr>
            <w:r>
              <w:t>356,264</w:t>
            </w:r>
          </w:p>
        </w:tc>
        <w:tc>
          <w:tcPr>
            <w:tcW w:w="1980" w:type="dxa"/>
          </w:tcPr>
          <w:p w14:paraId="1EDB2A68" w14:textId="77777777" w:rsidR="00A07A65" w:rsidRPr="002161F9" w:rsidRDefault="00A07A65" w:rsidP="00A07A65">
            <w:pPr>
              <w:jc w:val="right"/>
            </w:pPr>
          </w:p>
          <w:p w14:paraId="58F6A841" w14:textId="7D63D05B" w:rsidR="00A07A65" w:rsidRPr="002161F9" w:rsidRDefault="00A07A65" w:rsidP="00A07A65">
            <w:pPr>
              <w:jc w:val="right"/>
            </w:pPr>
            <w:r w:rsidRPr="002161F9">
              <w:t>439,163</w:t>
            </w:r>
          </w:p>
        </w:tc>
        <w:tc>
          <w:tcPr>
            <w:tcW w:w="1980" w:type="dxa"/>
          </w:tcPr>
          <w:p w14:paraId="159BD15B" w14:textId="77777777" w:rsidR="00A07A65" w:rsidRPr="000C7787" w:rsidRDefault="00A07A65" w:rsidP="00A07A65">
            <w:pPr>
              <w:jc w:val="right"/>
            </w:pPr>
          </w:p>
          <w:p w14:paraId="16646025" w14:textId="59D3EAC1" w:rsidR="00A07A65" w:rsidRPr="000C7787" w:rsidRDefault="00A07A65" w:rsidP="00A07A65">
            <w:pPr>
              <w:jc w:val="right"/>
            </w:pPr>
            <w:r w:rsidRPr="000C7787">
              <w:t>388,456</w:t>
            </w:r>
          </w:p>
        </w:tc>
      </w:tr>
      <w:tr w:rsidR="00A07A65" w14:paraId="2EB4BD78" w14:textId="23C9389F" w:rsidTr="00A07A65">
        <w:tc>
          <w:tcPr>
            <w:tcW w:w="1485" w:type="dxa"/>
            <w:shd w:val="clear" w:color="auto" w:fill="99CCFF"/>
          </w:tcPr>
          <w:p w14:paraId="18E7B162" w14:textId="77777777" w:rsidR="00A07A65" w:rsidRPr="00A07A65" w:rsidRDefault="00A07A65" w:rsidP="00A07A65">
            <w:pPr>
              <w:jc w:val="right"/>
            </w:pPr>
            <w:r w:rsidRPr="00A07A65">
              <w:t>Travel</w:t>
            </w:r>
          </w:p>
        </w:tc>
        <w:tc>
          <w:tcPr>
            <w:tcW w:w="1296" w:type="dxa"/>
          </w:tcPr>
          <w:p w14:paraId="0B8CC25D" w14:textId="3A12B80A" w:rsidR="00A07A65" w:rsidRPr="00A07A65" w:rsidRDefault="00A07A65" w:rsidP="00A07A65">
            <w:pPr>
              <w:jc w:val="right"/>
            </w:pPr>
            <w:r w:rsidRPr="00A07A65">
              <w:t>41,846</w:t>
            </w:r>
          </w:p>
        </w:tc>
        <w:tc>
          <w:tcPr>
            <w:tcW w:w="1620" w:type="dxa"/>
          </w:tcPr>
          <w:p w14:paraId="32092162" w14:textId="04710E69" w:rsidR="00A07A65" w:rsidRPr="002161F9" w:rsidRDefault="002161F9" w:rsidP="00A07A65">
            <w:pPr>
              <w:jc w:val="right"/>
            </w:pPr>
            <w:r>
              <w:t>28,930</w:t>
            </w:r>
          </w:p>
        </w:tc>
        <w:tc>
          <w:tcPr>
            <w:tcW w:w="1980" w:type="dxa"/>
          </w:tcPr>
          <w:p w14:paraId="23527DE7" w14:textId="7B2B2122" w:rsidR="00A07A65" w:rsidRPr="002161F9" w:rsidRDefault="00A07A65" w:rsidP="00A07A65">
            <w:pPr>
              <w:jc w:val="right"/>
            </w:pPr>
            <w:r w:rsidRPr="002161F9">
              <w:t>41,846</w:t>
            </w:r>
          </w:p>
        </w:tc>
        <w:tc>
          <w:tcPr>
            <w:tcW w:w="1980" w:type="dxa"/>
          </w:tcPr>
          <w:p w14:paraId="798DE2AE" w14:textId="033F6E8E" w:rsidR="00A07A65" w:rsidRPr="000C7787" w:rsidRDefault="00A07A65" w:rsidP="00A07A65">
            <w:pPr>
              <w:jc w:val="right"/>
            </w:pPr>
            <w:r w:rsidRPr="000C7787">
              <w:t>48,594</w:t>
            </w:r>
          </w:p>
        </w:tc>
      </w:tr>
      <w:tr w:rsidR="00A07A65" w14:paraId="419567AC" w14:textId="533E32E2" w:rsidTr="00A07A65">
        <w:tc>
          <w:tcPr>
            <w:tcW w:w="1485" w:type="dxa"/>
            <w:shd w:val="clear" w:color="auto" w:fill="99CCFF"/>
          </w:tcPr>
          <w:p w14:paraId="66D5610F" w14:textId="77777777" w:rsidR="00A07A65" w:rsidRPr="00A07A65" w:rsidRDefault="00A07A65" w:rsidP="00A07A65">
            <w:pPr>
              <w:jc w:val="right"/>
            </w:pPr>
            <w:r w:rsidRPr="00A07A65">
              <w:t>Equipment</w:t>
            </w:r>
          </w:p>
        </w:tc>
        <w:tc>
          <w:tcPr>
            <w:tcW w:w="1296" w:type="dxa"/>
          </w:tcPr>
          <w:p w14:paraId="22F96CB2" w14:textId="4C958DB6" w:rsidR="00A07A65" w:rsidRPr="00A07A65" w:rsidRDefault="00A07A65" w:rsidP="00A07A65">
            <w:pPr>
              <w:jc w:val="right"/>
            </w:pPr>
            <w:r w:rsidRPr="00A07A65">
              <w:t>0</w:t>
            </w:r>
          </w:p>
        </w:tc>
        <w:tc>
          <w:tcPr>
            <w:tcW w:w="1620" w:type="dxa"/>
          </w:tcPr>
          <w:p w14:paraId="55CB9FE3" w14:textId="206A6EC3" w:rsidR="00A07A65" w:rsidRPr="002161F9" w:rsidRDefault="00A07A65" w:rsidP="00A07A65">
            <w:pPr>
              <w:jc w:val="right"/>
            </w:pPr>
            <w:r w:rsidRPr="002161F9">
              <w:t>0</w:t>
            </w:r>
          </w:p>
        </w:tc>
        <w:tc>
          <w:tcPr>
            <w:tcW w:w="1980" w:type="dxa"/>
          </w:tcPr>
          <w:p w14:paraId="7FC19C48" w14:textId="2E27FB0B" w:rsidR="00A07A65" w:rsidRPr="002161F9" w:rsidRDefault="00A07A65" w:rsidP="00A07A65">
            <w:pPr>
              <w:jc w:val="right"/>
            </w:pPr>
            <w:r w:rsidRPr="002161F9">
              <w:t>0</w:t>
            </w:r>
          </w:p>
        </w:tc>
        <w:tc>
          <w:tcPr>
            <w:tcW w:w="1980" w:type="dxa"/>
          </w:tcPr>
          <w:p w14:paraId="1432E3BE" w14:textId="4ED6A46B" w:rsidR="00A07A65" w:rsidRPr="000C7787" w:rsidRDefault="00A07A65" w:rsidP="00A07A65">
            <w:pPr>
              <w:jc w:val="right"/>
            </w:pPr>
            <w:r w:rsidRPr="000C7787">
              <w:t>0</w:t>
            </w:r>
          </w:p>
        </w:tc>
      </w:tr>
      <w:tr w:rsidR="00A07A65" w14:paraId="3E83B5E2" w14:textId="7F57A91E" w:rsidTr="00A07A65">
        <w:tc>
          <w:tcPr>
            <w:tcW w:w="1485" w:type="dxa"/>
            <w:shd w:val="clear" w:color="auto" w:fill="99CCFF"/>
          </w:tcPr>
          <w:p w14:paraId="1BB71285" w14:textId="77777777" w:rsidR="00A07A65" w:rsidRPr="00A07A65" w:rsidRDefault="00A07A65" w:rsidP="00A07A65">
            <w:pPr>
              <w:jc w:val="right"/>
            </w:pPr>
            <w:r w:rsidRPr="00A07A65">
              <w:t>Supplies</w:t>
            </w:r>
          </w:p>
        </w:tc>
        <w:tc>
          <w:tcPr>
            <w:tcW w:w="1296" w:type="dxa"/>
          </w:tcPr>
          <w:p w14:paraId="594E3468" w14:textId="1B6E8B65" w:rsidR="00A07A65" w:rsidRPr="00A07A65" w:rsidRDefault="00A07A65" w:rsidP="00A07A65">
            <w:pPr>
              <w:jc w:val="right"/>
            </w:pPr>
            <w:r w:rsidRPr="00A07A65">
              <w:t>56,245</w:t>
            </w:r>
          </w:p>
        </w:tc>
        <w:tc>
          <w:tcPr>
            <w:tcW w:w="1620" w:type="dxa"/>
          </w:tcPr>
          <w:p w14:paraId="283D6D8C" w14:textId="00427C55" w:rsidR="00A07A65" w:rsidRPr="002161F9" w:rsidRDefault="002161F9" w:rsidP="00A07A65">
            <w:pPr>
              <w:jc w:val="right"/>
            </w:pPr>
            <w:r>
              <w:t>62,389</w:t>
            </w:r>
          </w:p>
        </w:tc>
        <w:tc>
          <w:tcPr>
            <w:tcW w:w="1980" w:type="dxa"/>
          </w:tcPr>
          <w:p w14:paraId="57A05FB0" w14:textId="7AE65218" w:rsidR="00A07A65" w:rsidRPr="002161F9" w:rsidRDefault="00A07A65" w:rsidP="00A07A65">
            <w:pPr>
              <w:jc w:val="right"/>
            </w:pPr>
            <w:r w:rsidRPr="002161F9">
              <w:t>57,109</w:t>
            </w:r>
          </w:p>
        </w:tc>
        <w:tc>
          <w:tcPr>
            <w:tcW w:w="1980" w:type="dxa"/>
          </w:tcPr>
          <w:p w14:paraId="60FFCD79" w14:textId="1AA0C791" w:rsidR="00A07A65" w:rsidRPr="000C7787" w:rsidRDefault="00A07A65" w:rsidP="00A07A65">
            <w:pPr>
              <w:jc w:val="right"/>
            </w:pPr>
            <w:r w:rsidRPr="000C7787">
              <w:t>51,534</w:t>
            </w:r>
          </w:p>
        </w:tc>
      </w:tr>
      <w:tr w:rsidR="00A07A65" w14:paraId="4D75D1D8" w14:textId="507A723F" w:rsidTr="00A07A65">
        <w:tc>
          <w:tcPr>
            <w:tcW w:w="1485" w:type="dxa"/>
            <w:shd w:val="clear" w:color="auto" w:fill="99CCFF"/>
          </w:tcPr>
          <w:p w14:paraId="5DE57BDC" w14:textId="77777777" w:rsidR="00A07A65" w:rsidRPr="00A07A65" w:rsidRDefault="00A07A65" w:rsidP="00A07A65">
            <w:pPr>
              <w:jc w:val="right"/>
            </w:pPr>
            <w:r w:rsidRPr="00A07A65">
              <w:t>Contractual</w:t>
            </w:r>
          </w:p>
        </w:tc>
        <w:tc>
          <w:tcPr>
            <w:tcW w:w="1296" w:type="dxa"/>
          </w:tcPr>
          <w:p w14:paraId="47CDA22E" w14:textId="1A5C3532" w:rsidR="00A07A65" w:rsidRPr="00A07A65" w:rsidRDefault="00A07A65" w:rsidP="00A07A65">
            <w:pPr>
              <w:jc w:val="right"/>
            </w:pPr>
            <w:r w:rsidRPr="00A07A65">
              <w:t>22,591</w:t>
            </w:r>
          </w:p>
        </w:tc>
        <w:tc>
          <w:tcPr>
            <w:tcW w:w="1620" w:type="dxa"/>
          </w:tcPr>
          <w:p w14:paraId="36D390D5" w14:textId="11A88679" w:rsidR="00A07A65" w:rsidRPr="002161F9" w:rsidRDefault="002161F9" w:rsidP="00A07A65">
            <w:pPr>
              <w:jc w:val="right"/>
            </w:pPr>
            <w:r>
              <w:t>11,962</w:t>
            </w:r>
          </w:p>
        </w:tc>
        <w:tc>
          <w:tcPr>
            <w:tcW w:w="1980" w:type="dxa"/>
          </w:tcPr>
          <w:p w14:paraId="6D681836" w14:textId="5E718512" w:rsidR="00A07A65" w:rsidRPr="002161F9" w:rsidRDefault="00A07A65" w:rsidP="00A07A65">
            <w:pPr>
              <w:jc w:val="right"/>
            </w:pPr>
            <w:r w:rsidRPr="002161F9">
              <w:t>22,591</w:t>
            </w:r>
          </w:p>
        </w:tc>
        <w:tc>
          <w:tcPr>
            <w:tcW w:w="1980" w:type="dxa"/>
          </w:tcPr>
          <w:p w14:paraId="047DCC2F" w14:textId="38AC2140" w:rsidR="00A07A65" w:rsidRPr="000C7787" w:rsidRDefault="00A07A65" w:rsidP="00A07A65">
            <w:pPr>
              <w:jc w:val="right"/>
            </w:pPr>
            <w:r w:rsidRPr="000C7787">
              <w:t>16,992</w:t>
            </w:r>
          </w:p>
        </w:tc>
      </w:tr>
      <w:tr w:rsidR="00A07A65" w14:paraId="5AD52F80" w14:textId="690ECCC3" w:rsidTr="00A07A65">
        <w:tc>
          <w:tcPr>
            <w:tcW w:w="1485" w:type="dxa"/>
            <w:shd w:val="clear" w:color="auto" w:fill="99CCFF"/>
          </w:tcPr>
          <w:p w14:paraId="3C00199F" w14:textId="77777777" w:rsidR="00A07A65" w:rsidRPr="00A07A65" w:rsidRDefault="00A07A65" w:rsidP="00A07A65">
            <w:pPr>
              <w:jc w:val="right"/>
            </w:pPr>
            <w:r w:rsidRPr="00A07A65">
              <w:t>Other</w:t>
            </w:r>
          </w:p>
        </w:tc>
        <w:tc>
          <w:tcPr>
            <w:tcW w:w="1296" w:type="dxa"/>
          </w:tcPr>
          <w:p w14:paraId="6AE3AD8B" w14:textId="729064BD" w:rsidR="00A07A65" w:rsidRPr="00A07A65" w:rsidRDefault="00A07A65" w:rsidP="00A07A65">
            <w:pPr>
              <w:jc w:val="right"/>
            </w:pPr>
            <w:r w:rsidRPr="00A07A65">
              <w:t>242,433</w:t>
            </w:r>
          </w:p>
        </w:tc>
        <w:tc>
          <w:tcPr>
            <w:tcW w:w="1620" w:type="dxa"/>
          </w:tcPr>
          <w:p w14:paraId="3B85A3F5" w14:textId="093B8F47" w:rsidR="00A07A65" w:rsidRPr="002161F9" w:rsidRDefault="002161F9" w:rsidP="00A07A65">
            <w:pPr>
              <w:jc w:val="right"/>
            </w:pPr>
            <w:r>
              <w:t>251,391</w:t>
            </w:r>
          </w:p>
        </w:tc>
        <w:tc>
          <w:tcPr>
            <w:tcW w:w="1980" w:type="dxa"/>
          </w:tcPr>
          <w:p w14:paraId="10EFCE97" w14:textId="2875AAB0" w:rsidR="00A07A65" w:rsidRPr="002161F9" w:rsidRDefault="00A07A65" w:rsidP="00A07A65">
            <w:pPr>
              <w:jc w:val="right"/>
            </w:pPr>
          </w:p>
        </w:tc>
        <w:tc>
          <w:tcPr>
            <w:tcW w:w="1980" w:type="dxa"/>
          </w:tcPr>
          <w:p w14:paraId="77D23CB0" w14:textId="52E774AE" w:rsidR="00A07A65" w:rsidRPr="000C7787" w:rsidRDefault="00A07A65" w:rsidP="00A07A65">
            <w:pPr>
              <w:jc w:val="right"/>
            </w:pPr>
            <w:r w:rsidRPr="000C7787">
              <w:t>275,083</w:t>
            </w:r>
          </w:p>
        </w:tc>
      </w:tr>
      <w:tr w:rsidR="00A07A65" w14:paraId="5E237A1C" w14:textId="576F22B3" w:rsidTr="00A07A65">
        <w:trPr>
          <w:trHeight w:val="395"/>
        </w:trPr>
        <w:tc>
          <w:tcPr>
            <w:tcW w:w="1485" w:type="dxa"/>
          </w:tcPr>
          <w:p w14:paraId="3F8C27A1" w14:textId="77777777" w:rsidR="00A07A65" w:rsidRPr="00A07A65" w:rsidRDefault="00A07A65" w:rsidP="00A07A65">
            <w:pPr>
              <w:jc w:val="right"/>
              <w:rPr>
                <w:color w:val="0000FF"/>
              </w:rPr>
            </w:pPr>
            <w:r w:rsidRPr="00A07A65">
              <w:rPr>
                <w:color w:val="0000FF"/>
              </w:rPr>
              <w:t>Total</w:t>
            </w:r>
          </w:p>
        </w:tc>
        <w:tc>
          <w:tcPr>
            <w:tcW w:w="1296" w:type="dxa"/>
          </w:tcPr>
          <w:p w14:paraId="7ED91510" w14:textId="63F746EC" w:rsidR="00A07A65" w:rsidRPr="00A07A65" w:rsidRDefault="00A07A65" w:rsidP="00A07A65">
            <w:pPr>
              <w:jc w:val="right"/>
              <w:rPr>
                <w:color w:val="0000FF"/>
              </w:rPr>
            </w:pPr>
            <w:r w:rsidRPr="00A07A65">
              <w:rPr>
                <w:color w:val="0000FF"/>
              </w:rPr>
              <w:t>$2,130</w:t>
            </w:r>
            <w:r w:rsidR="00BA079E">
              <w:rPr>
                <w:color w:val="0000FF"/>
              </w:rPr>
              <w:t>,</w:t>
            </w:r>
            <w:bookmarkStart w:id="0" w:name="_GoBack"/>
            <w:bookmarkEnd w:id="0"/>
            <w:r w:rsidRPr="00A07A65">
              <w:rPr>
                <w:color w:val="0000FF"/>
              </w:rPr>
              <w:t>460</w:t>
            </w:r>
          </w:p>
        </w:tc>
        <w:tc>
          <w:tcPr>
            <w:tcW w:w="1620" w:type="dxa"/>
          </w:tcPr>
          <w:p w14:paraId="690A1540" w14:textId="4CF444EE" w:rsidR="00A07A65" w:rsidRPr="002161F9" w:rsidRDefault="002161F9" w:rsidP="00A07A65">
            <w:pPr>
              <w:jc w:val="right"/>
              <w:rPr>
                <w:color w:val="0000FF"/>
              </w:rPr>
            </w:pPr>
            <w:r>
              <w:rPr>
                <w:color w:val="0000FF"/>
              </w:rPr>
              <w:t>1,902,618</w:t>
            </w:r>
          </w:p>
        </w:tc>
        <w:tc>
          <w:tcPr>
            <w:tcW w:w="1980" w:type="dxa"/>
          </w:tcPr>
          <w:p w14:paraId="42DE1DA1" w14:textId="5E5A250C" w:rsidR="00A07A65" w:rsidRPr="002161F9" w:rsidRDefault="00A07A65" w:rsidP="00A07A65">
            <w:pPr>
              <w:jc w:val="right"/>
              <w:rPr>
                <w:color w:val="0000FF"/>
              </w:rPr>
            </w:pPr>
            <w:r w:rsidRPr="002161F9">
              <w:rPr>
                <w:color w:val="0000FF"/>
              </w:rPr>
              <w:t>$2,186,065</w:t>
            </w:r>
          </w:p>
        </w:tc>
        <w:tc>
          <w:tcPr>
            <w:tcW w:w="1980" w:type="dxa"/>
          </w:tcPr>
          <w:p w14:paraId="5D93031E" w14:textId="69941E5D" w:rsidR="00A07A65" w:rsidRPr="000C7787" w:rsidRDefault="00A07A65" w:rsidP="00A07A65">
            <w:pPr>
              <w:jc w:val="right"/>
              <w:rPr>
                <w:color w:val="0000FF"/>
              </w:rPr>
            </w:pPr>
            <w:r w:rsidRPr="000C7787">
              <w:rPr>
                <w:color w:val="0000FF"/>
              </w:rPr>
              <w:t>$2,065,107</w:t>
            </w:r>
          </w:p>
        </w:tc>
      </w:tr>
    </w:tbl>
    <w:p w14:paraId="12106F19" w14:textId="77777777" w:rsidR="00A764BB" w:rsidRDefault="00A764BB" w:rsidP="00A07A65">
      <w:pPr>
        <w:jc w:val="right"/>
      </w:pPr>
    </w:p>
    <w:p w14:paraId="1B82CD47" w14:textId="77777777" w:rsidR="00A764BB" w:rsidRDefault="00A764BB" w:rsidP="00A764BB">
      <w:pPr>
        <w:ind w:firstLine="720"/>
      </w:pPr>
    </w:p>
    <w:p w14:paraId="0409E34E" w14:textId="415C315E" w:rsidR="00A764BB" w:rsidRPr="000F6E3F" w:rsidRDefault="00A764BB" w:rsidP="00A764BB">
      <w:r w:rsidRPr="000F6E3F">
        <w:rPr>
          <w:b/>
          <w:i/>
        </w:rPr>
        <w:t xml:space="preserve">Federal Program </w:t>
      </w:r>
      <w:r w:rsidR="00F366F6">
        <w:rPr>
          <w:b/>
          <w:i/>
        </w:rPr>
        <w:t xml:space="preserve">Monitoring </w:t>
      </w:r>
      <w:r w:rsidRPr="000F6E3F">
        <w:rPr>
          <w:b/>
          <w:i/>
        </w:rPr>
        <w:t xml:space="preserve">Review – </w:t>
      </w:r>
      <w:r w:rsidR="00F366F6">
        <w:t>Delaware Opportunities Head Start participated in a Federal Monitoring Review in March of</w:t>
      </w:r>
      <w:r w:rsidRPr="000F6E3F">
        <w:t xml:space="preserve"> 201</w:t>
      </w:r>
      <w:r w:rsidR="00F366F6">
        <w:t>9.</w:t>
      </w:r>
      <w:r w:rsidRPr="000F6E3F">
        <w:t xml:space="preserve"> </w:t>
      </w:r>
      <w:r w:rsidR="00F366F6">
        <w:t>T</w:t>
      </w:r>
      <w:r w:rsidRPr="000F6E3F">
        <w:t xml:space="preserve">he program was found to be in full compliance with all applicable Head Start Performance Standards, laws, regulations and policy requirements.  The Program </w:t>
      </w:r>
      <w:r w:rsidR="00F366F6">
        <w:t xml:space="preserve">also participated in a Federal CLASS </w:t>
      </w:r>
      <w:r w:rsidRPr="000F6E3F">
        <w:t>Review</w:t>
      </w:r>
      <w:r w:rsidR="00F366F6">
        <w:t xml:space="preserve"> in November of 2018 and the Program did well.  The Classroom Assessment Scoring System (CLASS)</w:t>
      </w:r>
      <w:r w:rsidRPr="000F6E3F">
        <w:t xml:space="preserve"> </w:t>
      </w:r>
      <w:r w:rsidR="00F366F6">
        <w:t xml:space="preserve">is a measure of the interactions between the children and staff to ensure that the environment is positive, there is classroom management systems in place to capitalize on productivity and that there is instructional support and rich language between the children and staff. </w:t>
      </w:r>
    </w:p>
    <w:p w14:paraId="0A61D7E5" w14:textId="77777777" w:rsidR="00A764BB" w:rsidRPr="000F6E3F" w:rsidRDefault="00A764BB" w:rsidP="00A764BB"/>
    <w:p w14:paraId="66A41447" w14:textId="77777777" w:rsidR="00A764BB" w:rsidRPr="000F6E3F" w:rsidRDefault="00A764BB" w:rsidP="00A764BB">
      <w:r w:rsidRPr="000F6E3F">
        <w:rPr>
          <w:b/>
          <w:i/>
        </w:rPr>
        <w:t>Independent Audit –</w:t>
      </w:r>
      <w:r w:rsidRPr="000F6E3F">
        <w:t xml:space="preserve"> The most recent independent audit can be found annually on our website by visiting the home page and following the link or by contacting our office.</w:t>
      </w:r>
    </w:p>
    <w:p w14:paraId="3FAAC873" w14:textId="77777777" w:rsidR="00A764BB" w:rsidRPr="000F6E3F" w:rsidRDefault="00A764BB" w:rsidP="00A764BB"/>
    <w:p w14:paraId="58701637" w14:textId="25EF4D39" w:rsidR="00A764BB" w:rsidRDefault="00A764BB" w:rsidP="00A764BB">
      <w:r w:rsidRPr="000F6E3F">
        <w:rPr>
          <w:b/>
          <w:i/>
        </w:rPr>
        <w:t>Full-day Classrooms</w:t>
      </w:r>
      <w:r w:rsidR="00DA4BA1">
        <w:rPr>
          <w:b/>
          <w:i/>
        </w:rPr>
        <w:t xml:space="preserve"> </w:t>
      </w:r>
      <w:r w:rsidR="00DA4BA1">
        <w:t xml:space="preserve">– </w:t>
      </w:r>
      <w:r w:rsidR="00F366F6">
        <w:t>DO Head Start</w:t>
      </w:r>
      <w:r w:rsidRPr="000F6E3F">
        <w:t xml:space="preserve"> ha</w:t>
      </w:r>
      <w:r w:rsidR="00F366F6">
        <w:t xml:space="preserve">s </w:t>
      </w:r>
      <w:r w:rsidRPr="000F6E3F">
        <w:t xml:space="preserve">completed out </w:t>
      </w:r>
      <w:r w:rsidR="00F366F6">
        <w:t>second</w:t>
      </w:r>
      <w:r w:rsidRPr="000F6E3F">
        <w:t xml:space="preserve"> year with four full day classrooms.  These classrooms are </w:t>
      </w:r>
      <w:r w:rsidR="00F366F6">
        <w:t>located in</w:t>
      </w:r>
      <w:r w:rsidRPr="000F6E3F">
        <w:t xml:space="preserve"> Delhi, Fishs Eddy, Sidney and Walton locations.  </w:t>
      </w:r>
      <w:r w:rsidR="00F366F6">
        <w:t xml:space="preserve">Delaware Opportunities will be adding two more full day locations and they will be in the Arkville and Davenport sites.  </w:t>
      </w:r>
      <w:r w:rsidRPr="000F6E3F">
        <w:t xml:space="preserve">The full day classrooms enable us to provide services to those families that are working or seeking to further their education.  </w:t>
      </w:r>
    </w:p>
    <w:p w14:paraId="0216B521" w14:textId="77777777" w:rsidR="00F366F6" w:rsidRPr="000F6E3F" w:rsidRDefault="00F366F6" w:rsidP="00A764BB"/>
    <w:p w14:paraId="364585B3" w14:textId="3F8FD04C" w:rsidR="00A764BB" w:rsidRPr="00DA4BA1" w:rsidRDefault="00A764BB" w:rsidP="00A764BB">
      <w:pPr>
        <w:rPr>
          <w:b/>
          <w:i/>
        </w:rPr>
      </w:pPr>
      <w:r w:rsidRPr="000F6E3F">
        <w:rPr>
          <w:b/>
          <w:i/>
        </w:rPr>
        <w:t>Kindergarten</w:t>
      </w:r>
      <w:r w:rsidRPr="00DA4BA1">
        <w:rPr>
          <w:b/>
          <w:i/>
        </w:rPr>
        <w:t xml:space="preserve"> Transition</w:t>
      </w:r>
      <w:r w:rsidR="00DA4BA1">
        <w:t xml:space="preserve"> – T</w:t>
      </w:r>
      <w:r w:rsidRPr="00DA4BA1">
        <w:t>he</w:t>
      </w:r>
      <w:r w:rsidRPr="000F6E3F">
        <w:t xml:space="preserve"> process for transitioning from Head Start to kindergarten is ongoing.  The children engage in a variety of activities in the classroom related to kindergarten and the concept of transition.  The staff and children read books, role play, </w:t>
      </w:r>
      <w:r w:rsidRPr="000F6E3F">
        <w:lastRenderedPageBreak/>
        <w:t>have group discussions, and learn songs about kindergarten and what to expect.  If possible, the kindergarten teachers visit the classroom and talk to the children about what they will see, do, and what kinds of things they will learn.  They also talk to the parent groups about what is expected and what they can do to help their child prepare.  In May, the children visit the public school and parents are invited to attend.  End of year reports are sent to the public school in the areas of health and education with the parents’ permission.  In September, the children that will attend kindergarten are provided with backpacks and school supplies that are obtained through a community grant and donations.  Staff contact the parents again to see how public school is going and if there is anything we can do to aid in the process.  Additionally, the Lead Teachers are also contacted the schools to learn how the Head Start children are doing and if there is any additional information we can provide that may be of assistance.</w:t>
      </w:r>
    </w:p>
    <w:p w14:paraId="2426EAE9" w14:textId="77777777" w:rsidR="00A764BB" w:rsidRDefault="00A764BB" w:rsidP="00A764BB">
      <w:pPr>
        <w:jc w:val="center"/>
        <w:rPr>
          <w:rFonts w:ascii="Rockwell" w:hAnsi="Rockwell"/>
        </w:rPr>
      </w:pPr>
    </w:p>
    <w:p w14:paraId="040EC00B" w14:textId="77777777" w:rsidR="00A764BB" w:rsidRDefault="00A764BB" w:rsidP="00A764BB">
      <w:pPr>
        <w:jc w:val="center"/>
        <w:rPr>
          <w:rFonts w:ascii="Rockwell" w:hAnsi="Rockwell"/>
        </w:rPr>
      </w:pPr>
    </w:p>
    <w:p w14:paraId="44EA1FD7" w14:textId="58558F95" w:rsidR="00A764BB" w:rsidRPr="004E4DEA" w:rsidRDefault="00A764BB" w:rsidP="00A764BB">
      <w:pPr>
        <w:shd w:val="clear" w:color="auto" w:fill="FFCC99"/>
        <w:jc w:val="center"/>
        <w:rPr>
          <w:rFonts w:ascii="Rockwell" w:hAnsi="Rockwell"/>
          <w:b/>
          <w:i/>
        </w:rPr>
      </w:pPr>
      <w:r w:rsidRPr="004E4DEA">
        <w:rPr>
          <w:rFonts w:ascii="Rockwell" w:hAnsi="Rockwell"/>
          <w:b/>
          <w:i/>
        </w:rPr>
        <w:t>Consumer Impact 201</w:t>
      </w:r>
      <w:r w:rsidR="00F366F6" w:rsidRPr="004E4DEA">
        <w:rPr>
          <w:rFonts w:ascii="Rockwell" w:hAnsi="Rockwell"/>
          <w:b/>
          <w:i/>
        </w:rPr>
        <w:t>8</w:t>
      </w:r>
      <w:r w:rsidRPr="004E4DEA">
        <w:rPr>
          <w:rFonts w:ascii="Rockwell" w:hAnsi="Rockwell"/>
          <w:b/>
          <w:i/>
        </w:rPr>
        <w:t xml:space="preserve"> </w:t>
      </w:r>
      <w:r w:rsidR="00F366F6" w:rsidRPr="004E4DEA">
        <w:rPr>
          <w:rFonts w:ascii="Rockwell" w:hAnsi="Rockwell"/>
          <w:b/>
          <w:i/>
        </w:rPr>
        <w:t>–</w:t>
      </w:r>
      <w:r w:rsidRPr="004E4DEA">
        <w:rPr>
          <w:rFonts w:ascii="Rockwell" w:hAnsi="Rockwell"/>
          <w:b/>
          <w:i/>
        </w:rPr>
        <w:t xml:space="preserve"> 201</w:t>
      </w:r>
      <w:r w:rsidR="00F366F6" w:rsidRPr="004E4DEA">
        <w:rPr>
          <w:rFonts w:ascii="Rockwell" w:hAnsi="Rockwell"/>
          <w:b/>
          <w:i/>
        </w:rPr>
        <w:t>9</w:t>
      </w:r>
    </w:p>
    <w:p w14:paraId="64D45DA2" w14:textId="77777777" w:rsidR="00A764BB" w:rsidRPr="00F366F6" w:rsidRDefault="00A764BB" w:rsidP="00A764BB">
      <w:pPr>
        <w:rPr>
          <w:rFonts w:ascii="Rockwell" w:hAnsi="Rockwel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736"/>
        <w:gridCol w:w="3494"/>
        <w:gridCol w:w="736"/>
      </w:tblGrid>
      <w:tr w:rsidR="00A764BB" w:rsidRPr="00F366F6" w14:paraId="63AC2E56" w14:textId="77777777" w:rsidTr="003A0C21">
        <w:tc>
          <w:tcPr>
            <w:tcW w:w="0" w:type="auto"/>
            <w:shd w:val="clear" w:color="auto" w:fill="FFCC99"/>
          </w:tcPr>
          <w:p w14:paraId="42190A96" w14:textId="77777777" w:rsidR="00A764BB" w:rsidRPr="004E4DEA" w:rsidRDefault="00A764BB" w:rsidP="003A0C21">
            <w:pPr>
              <w:rPr>
                <w:rFonts w:ascii="Rockwell" w:hAnsi="Rockwell"/>
                <w:sz w:val="20"/>
                <w:szCs w:val="20"/>
              </w:rPr>
            </w:pPr>
            <w:r w:rsidRPr="004E4DEA">
              <w:rPr>
                <w:rFonts w:ascii="Rockwell" w:hAnsi="Rockwell"/>
                <w:sz w:val="20"/>
                <w:szCs w:val="20"/>
              </w:rPr>
              <w:t>Total number of children and families, including drops and replacements</w:t>
            </w:r>
          </w:p>
        </w:tc>
        <w:tc>
          <w:tcPr>
            <w:tcW w:w="0" w:type="auto"/>
            <w:shd w:val="clear" w:color="auto" w:fill="FFCC99"/>
          </w:tcPr>
          <w:p w14:paraId="55B7E433" w14:textId="77777777" w:rsidR="00A764BB" w:rsidRPr="004E4DEA" w:rsidRDefault="00A764BB" w:rsidP="003A0C21">
            <w:pPr>
              <w:rPr>
                <w:rFonts w:ascii="Rockwell" w:hAnsi="Rockwell"/>
                <w:sz w:val="20"/>
                <w:szCs w:val="20"/>
              </w:rPr>
            </w:pPr>
            <w:r w:rsidRPr="004E4DEA">
              <w:rPr>
                <w:rFonts w:ascii="Rockwell" w:hAnsi="Rockwell"/>
                <w:sz w:val="20"/>
                <w:szCs w:val="20"/>
              </w:rPr>
              <w:t>232</w:t>
            </w:r>
          </w:p>
        </w:tc>
        <w:tc>
          <w:tcPr>
            <w:tcW w:w="0" w:type="auto"/>
            <w:shd w:val="clear" w:color="auto" w:fill="FFCC99"/>
          </w:tcPr>
          <w:p w14:paraId="0ABA4BDA" w14:textId="77777777" w:rsidR="00A764BB" w:rsidRPr="004E4DEA" w:rsidRDefault="00A764BB" w:rsidP="003A0C21">
            <w:pPr>
              <w:rPr>
                <w:rFonts w:ascii="Rockwell" w:hAnsi="Rockwell"/>
                <w:sz w:val="20"/>
                <w:szCs w:val="20"/>
              </w:rPr>
            </w:pPr>
            <w:r w:rsidRPr="004E4DEA">
              <w:rPr>
                <w:rFonts w:ascii="Rockwell" w:hAnsi="Rockwell"/>
                <w:sz w:val="20"/>
                <w:szCs w:val="20"/>
              </w:rPr>
              <w:t>Number of children completing</w:t>
            </w:r>
          </w:p>
          <w:p w14:paraId="27FC9D13" w14:textId="77777777" w:rsidR="00A764BB" w:rsidRPr="004E4DEA" w:rsidRDefault="00A764BB" w:rsidP="003A0C21">
            <w:pPr>
              <w:rPr>
                <w:rFonts w:ascii="Rockwell" w:hAnsi="Rockwell"/>
                <w:sz w:val="20"/>
                <w:szCs w:val="20"/>
              </w:rPr>
            </w:pPr>
            <w:r w:rsidRPr="004E4DEA">
              <w:rPr>
                <w:rFonts w:ascii="Rockwell" w:hAnsi="Rockwell"/>
                <w:sz w:val="20"/>
                <w:szCs w:val="20"/>
              </w:rPr>
              <w:t>a well-child physical exam</w:t>
            </w:r>
          </w:p>
        </w:tc>
        <w:tc>
          <w:tcPr>
            <w:tcW w:w="0" w:type="auto"/>
            <w:shd w:val="clear" w:color="auto" w:fill="FFCC99"/>
          </w:tcPr>
          <w:p w14:paraId="2122A231" w14:textId="77777777" w:rsidR="00A764BB" w:rsidRPr="004E4DEA" w:rsidRDefault="00A764BB" w:rsidP="003A0C21">
            <w:pPr>
              <w:rPr>
                <w:rFonts w:ascii="Rockwell" w:hAnsi="Rockwell"/>
                <w:sz w:val="20"/>
                <w:szCs w:val="20"/>
              </w:rPr>
            </w:pPr>
            <w:r w:rsidRPr="004E4DEA">
              <w:rPr>
                <w:rFonts w:ascii="Rockwell" w:hAnsi="Rockwell"/>
                <w:sz w:val="20"/>
                <w:szCs w:val="20"/>
              </w:rPr>
              <w:t>232</w:t>
            </w:r>
          </w:p>
          <w:p w14:paraId="48B505CC" w14:textId="2FC1293D" w:rsidR="00A764BB" w:rsidRPr="004E4DEA" w:rsidRDefault="004E4DEA" w:rsidP="003A0C21">
            <w:pPr>
              <w:rPr>
                <w:rFonts w:ascii="Rockwell" w:hAnsi="Rockwell"/>
                <w:sz w:val="20"/>
                <w:szCs w:val="20"/>
              </w:rPr>
            </w:pPr>
            <w:r w:rsidRPr="004E4DEA">
              <w:rPr>
                <w:rFonts w:ascii="Rockwell" w:hAnsi="Rockwell"/>
                <w:sz w:val="20"/>
                <w:szCs w:val="20"/>
              </w:rPr>
              <w:t>97</w:t>
            </w:r>
            <w:r w:rsidR="00A764BB" w:rsidRPr="004E4DEA">
              <w:rPr>
                <w:rFonts w:ascii="Rockwell" w:hAnsi="Rockwell"/>
                <w:sz w:val="20"/>
                <w:szCs w:val="20"/>
              </w:rPr>
              <w:t>%</w:t>
            </w:r>
          </w:p>
        </w:tc>
      </w:tr>
      <w:tr w:rsidR="00A764BB" w:rsidRPr="00F366F6" w14:paraId="1ADABF29" w14:textId="77777777" w:rsidTr="003A0C21">
        <w:tc>
          <w:tcPr>
            <w:tcW w:w="0" w:type="auto"/>
            <w:tcBorders>
              <w:bottom w:val="single" w:sz="4" w:space="0" w:color="auto"/>
            </w:tcBorders>
          </w:tcPr>
          <w:p w14:paraId="5F7A812B" w14:textId="77777777" w:rsidR="00A764BB" w:rsidRPr="004E4DEA" w:rsidRDefault="00A764BB" w:rsidP="003A0C21">
            <w:pPr>
              <w:rPr>
                <w:rFonts w:ascii="Rockwell" w:hAnsi="Rockwell"/>
                <w:sz w:val="20"/>
                <w:szCs w:val="20"/>
              </w:rPr>
            </w:pPr>
            <w:r w:rsidRPr="004E4DEA">
              <w:rPr>
                <w:rFonts w:ascii="Rockwell" w:hAnsi="Rockwell"/>
                <w:sz w:val="20"/>
                <w:szCs w:val="20"/>
              </w:rPr>
              <w:t>Total funded enrollment</w:t>
            </w:r>
          </w:p>
        </w:tc>
        <w:tc>
          <w:tcPr>
            <w:tcW w:w="0" w:type="auto"/>
            <w:tcBorders>
              <w:bottom w:val="single" w:sz="4" w:space="0" w:color="auto"/>
            </w:tcBorders>
          </w:tcPr>
          <w:p w14:paraId="79BA25FC" w14:textId="77777777" w:rsidR="00A764BB" w:rsidRPr="004E4DEA" w:rsidRDefault="00A764BB" w:rsidP="003A0C21">
            <w:pPr>
              <w:rPr>
                <w:rFonts w:ascii="Rockwell" w:hAnsi="Rockwell"/>
                <w:sz w:val="20"/>
                <w:szCs w:val="20"/>
              </w:rPr>
            </w:pPr>
            <w:r w:rsidRPr="004E4DEA">
              <w:rPr>
                <w:rFonts w:ascii="Rockwell" w:hAnsi="Rockwell"/>
                <w:sz w:val="20"/>
                <w:szCs w:val="20"/>
              </w:rPr>
              <w:t>224</w:t>
            </w:r>
          </w:p>
        </w:tc>
        <w:tc>
          <w:tcPr>
            <w:tcW w:w="0" w:type="auto"/>
            <w:tcBorders>
              <w:bottom w:val="single" w:sz="4" w:space="0" w:color="auto"/>
            </w:tcBorders>
          </w:tcPr>
          <w:p w14:paraId="75502CCE" w14:textId="77777777" w:rsidR="00A764BB" w:rsidRPr="004E4DEA" w:rsidRDefault="00A764BB" w:rsidP="003A0C21">
            <w:pPr>
              <w:rPr>
                <w:rFonts w:ascii="Rockwell" w:hAnsi="Rockwell"/>
                <w:sz w:val="20"/>
                <w:szCs w:val="20"/>
              </w:rPr>
            </w:pPr>
            <w:r w:rsidRPr="004E4DEA">
              <w:rPr>
                <w:rFonts w:ascii="Rockwell" w:hAnsi="Rockwell"/>
                <w:sz w:val="20"/>
                <w:szCs w:val="20"/>
              </w:rPr>
              <w:t>Of the children examined, the number needing treatment</w:t>
            </w:r>
          </w:p>
        </w:tc>
        <w:tc>
          <w:tcPr>
            <w:tcW w:w="0" w:type="auto"/>
            <w:tcBorders>
              <w:bottom w:val="single" w:sz="4" w:space="0" w:color="auto"/>
            </w:tcBorders>
          </w:tcPr>
          <w:p w14:paraId="1FD3C935" w14:textId="77777777" w:rsidR="00A764BB" w:rsidRPr="004E4DEA" w:rsidRDefault="00A764BB" w:rsidP="003A0C21">
            <w:pPr>
              <w:rPr>
                <w:rFonts w:ascii="Rockwell" w:hAnsi="Rockwell"/>
                <w:sz w:val="20"/>
                <w:szCs w:val="20"/>
              </w:rPr>
            </w:pPr>
            <w:r w:rsidRPr="004E4DEA">
              <w:rPr>
                <w:rFonts w:ascii="Rockwell" w:hAnsi="Rockwell"/>
                <w:sz w:val="20"/>
                <w:szCs w:val="20"/>
              </w:rPr>
              <w:t xml:space="preserve">  16</w:t>
            </w:r>
          </w:p>
        </w:tc>
      </w:tr>
      <w:tr w:rsidR="00A764BB" w:rsidRPr="00F366F6" w14:paraId="286B37AF" w14:textId="77777777" w:rsidTr="003A0C21">
        <w:tc>
          <w:tcPr>
            <w:tcW w:w="0" w:type="auto"/>
            <w:shd w:val="clear" w:color="auto" w:fill="FFCC99"/>
          </w:tcPr>
          <w:p w14:paraId="54E4579E" w14:textId="77777777" w:rsidR="00A764BB" w:rsidRPr="004E4DEA" w:rsidRDefault="00A764BB" w:rsidP="003A0C21">
            <w:pPr>
              <w:rPr>
                <w:rFonts w:ascii="Rockwell" w:hAnsi="Rockwell"/>
                <w:sz w:val="20"/>
                <w:szCs w:val="20"/>
              </w:rPr>
            </w:pPr>
            <w:r w:rsidRPr="004E4DEA">
              <w:rPr>
                <w:rFonts w:ascii="Rockwell" w:hAnsi="Rockwell"/>
                <w:sz w:val="20"/>
                <w:szCs w:val="20"/>
              </w:rPr>
              <w:t>Average monthly enrollment</w:t>
            </w:r>
          </w:p>
        </w:tc>
        <w:tc>
          <w:tcPr>
            <w:tcW w:w="0" w:type="auto"/>
            <w:shd w:val="clear" w:color="auto" w:fill="FFCC99"/>
          </w:tcPr>
          <w:p w14:paraId="57022C6D" w14:textId="7C80439C" w:rsidR="00A764BB" w:rsidRPr="004E4DEA" w:rsidRDefault="00A764BB" w:rsidP="003A0C21">
            <w:pPr>
              <w:rPr>
                <w:rFonts w:ascii="Rockwell" w:hAnsi="Rockwell"/>
                <w:sz w:val="20"/>
                <w:szCs w:val="20"/>
              </w:rPr>
            </w:pPr>
            <w:r w:rsidRPr="004E4DEA">
              <w:rPr>
                <w:rFonts w:ascii="Rockwell" w:hAnsi="Rockwell"/>
                <w:sz w:val="20"/>
                <w:szCs w:val="20"/>
              </w:rPr>
              <w:t>2</w:t>
            </w:r>
            <w:r w:rsidR="004E4DEA" w:rsidRPr="004E4DEA">
              <w:rPr>
                <w:rFonts w:ascii="Rockwell" w:hAnsi="Rockwell"/>
                <w:sz w:val="20"/>
                <w:szCs w:val="20"/>
              </w:rPr>
              <w:t>03</w:t>
            </w:r>
          </w:p>
          <w:p w14:paraId="096F3E3F" w14:textId="4B9D4BE2" w:rsidR="00A764BB" w:rsidRPr="004E4DEA" w:rsidRDefault="00A764BB" w:rsidP="003A0C21">
            <w:pPr>
              <w:rPr>
                <w:rFonts w:ascii="Rockwell" w:hAnsi="Rockwell"/>
                <w:sz w:val="20"/>
                <w:szCs w:val="20"/>
              </w:rPr>
            </w:pPr>
            <w:r w:rsidRPr="004E4DEA">
              <w:rPr>
                <w:rFonts w:ascii="Rockwell" w:hAnsi="Rockwell"/>
                <w:sz w:val="20"/>
                <w:szCs w:val="20"/>
              </w:rPr>
              <w:t>9</w:t>
            </w:r>
            <w:r w:rsidR="004E4DEA" w:rsidRPr="004E4DEA">
              <w:rPr>
                <w:rFonts w:ascii="Rockwell" w:hAnsi="Rockwell"/>
                <w:sz w:val="20"/>
                <w:szCs w:val="20"/>
              </w:rPr>
              <w:t>0</w:t>
            </w:r>
            <w:r w:rsidRPr="004E4DEA">
              <w:rPr>
                <w:rFonts w:ascii="Rockwell" w:hAnsi="Rockwell"/>
                <w:sz w:val="20"/>
                <w:szCs w:val="20"/>
              </w:rPr>
              <w:t>%</w:t>
            </w:r>
          </w:p>
        </w:tc>
        <w:tc>
          <w:tcPr>
            <w:tcW w:w="0" w:type="auto"/>
            <w:shd w:val="clear" w:color="auto" w:fill="FFCC99"/>
          </w:tcPr>
          <w:p w14:paraId="0BB3B8E7" w14:textId="77777777" w:rsidR="00A764BB" w:rsidRPr="004E4DEA" w:rsidRDefault="00A764BB" w:rsidP="003A0C21">
            <w:pPr>
              <w:rPr>
                <w:rFonts w:ascii="Rockwell" w:hAnsi="Rockwell"/>
                <w:sz w:val="20"/>
                <w:szCs w:val="20"/>
              </w:rPr>
            </w:pPr>
            <w:r w:rsidRPr="004E4DEA">
              <w:rPr>
                <w:rFonts w:ascii="Rockwell" w:hAnsi="Rockwell"/>
                <w:sz w:val="20"/>
                <w:szCs w:val="20"/>
              </w:rPr>
              <w:t>Number of children who received needed treatment</w:t>
            </w:r>
          </w:p>
        </w:tc>
        <w:tc>
          <w:tcPr>
            <w:tcW w:w="0" w:type="auto"/>
            <w:shd w:val="clear" w:color="auto" w:fill="FFCC99"/>
          </w:tcPr>
          <w:p w14:paraId="08C92A5F" w14:textId="30B9882B" w:rsidR="00A764BB" w:rsidRPr="004E4DEA" w:rsidRDefault="00A764BB" w:rsidP="003A0C21">
            <w:pPr>
              <w:rPr>
                <w:rFonts w:ascii="Rockwell" w:hAnsi="Rockwell"/>
                <w:sz w:val="20"/>
                <w:szCs w:val="20"/>
              </w:rPr>
            </w:pPr>
            <w:r w:rsidRPr="004E4DEA">
              <w:rPr>
                <w:rFonts w:ascii="Rockwell" w:hAnsi="Rockwell"/>
              </w:rPr>
              <w:t xml:space="preserve">  </w:t>
            </w:r>
            <w:r w:rsidR="004E4DEA" w:rsidRPr="004E4DEA">
              <w:rPr>
                <w:rFonts w:ascii="Rockwell" w:hAnsi="Rockwell"/>
                <w:sz w:val="20"/>
                <w:szCs w:val="20"/>
              </w:rPr>
              <w:t>25</w:t>
            </w:r>
          </w:p>
        </w:tc>
      </w:tr>
      <w:tr w:rsidR="00A764BB" w:rsidRPr="00F366F6" w14:paraId="0B4FB052" w14:textId="77777777" w:rsidTr="003A0C21">
        <w:tc>
          <w:tcPr>
            <w:tcW w:w="0" w:type="auto"/>
            <w:tcBorders>
              <w:bottom w:val="single" w:sz="4" w:space="0" w:color="auto"/>
            </w:tcBorders>
          </w:tcPr>
          <w:p w14:paraId="3443FEC1" w14:textId="77777777" w:rsidR="00A764BB" w:rsidRPr="004E4DEA" w:rsidRDefault="00A764BB" w:rsidP="003A0C21">
            <w:pPr>
              <w:rPr>
                <w:rFonts w:ascii="Rockwell" w:hAnsi="Rockwell"/>
                <w:sz w:val="20"/>
                <w:szCs w:val="20"/>
              </w:rPr>
            </w:pPr>
            <w:r w:rsidRPr="004E4DEA">
              <w:rPr>
                <w:rFonts w:ascii="Rockwell" w:hAnsi="Rockwell"/>
                <w:sz w:val="20"/>
                <w:szCs w:val="20"/>
              </w:rPr>
              <w:t>Number of children with health insurance</w:t>
            </w:r>
          </w:p>
        </w:tc>
        <w:tc>
          <w:tcPr>
            <w:tcW w:w="0" w:type="auto"/>
            <w:tcBorders>
              <w:bottom w:val="single" w:sz="4" w:space="0" w:color="auto"/>
            </w:tcBorders>
          </w:tcPr>
          <w:p w14:paraId="2F910536" w14:textId="74C1D43F" w:rsidR="00A764BB" w:rsidRPr="004E4DEA" w:rsidRDefault="00A764BB" w:rsidP="003A0C21">
            <w:pPr>
              <w:rPr>
                <w:rFonts w:ascii="Rockwell" w:hAnsi="Rockwell"/>
                <w:sz w:val="20"/>
                <w:szCs w:val="20"/>
              </w:rPr>
            </w:pPr>
            <w:r w:rsidRPr="004E4DEA">
              <w:rPr>
                <w:rFonts w:ascii="Rockwell" w:hAnsi="Rockwell"/>
                <w:sz w:val="20"/>
                <w:szCs w:val="20"/>
              </w:rPr>
              <w:t>2</w:t>
            </w:r>
            <w:r w:rsidR="004E4DEA" w:rsidRPr="004E4DEA">
              <w:rPr>
                <w:rFonts w:ascii="Rockwell" w:hAnsi="Rockwell"/>
                <w:sz w:val="20"/>
                <w:szCs w:val="20"/>
              </w:rPr>
              <w:t>28</w:t>
            </w:r>
          </w:p>
          <w:p w14:paraId="6981ACF3" w14:textId="38ADE54F" w:rsidR="00A764BB" w:rsidRPr="004E4DEA" w:rsidRDefault="00A764BB" w:rsidP="003A0C21">
            <w:pPr>
              <w:rPr>
                <w:rFonts w:ascii="Rockwell" w:hAnsi="Rockwell"/>
                <w:sz w:val="20"/>
                <w:szCs w:val="20"/>
              </w:rPr>
            </w:pPr>
            <w:r w:rsidRPr="004E4DEA">
              <w:rPr>
                <w:rFonts w:ascii="Rockwell" w:hAnsi="Rockwell"/>
                <w:sz w:val="20"/>
                <w:szCs w:val="20"/>
              </w:rPr>
              <w:t>10</w:t>
            </w:r>
            <w:r w:rsidR="004E4DEA" w:rsidRPr="004E4DEA">
              <w:rPr>
                <w:rFonts w:ascii="Rockwell" w:hAnsi="Rockwell"/>
                <w:sz w:val="20"/>
                <w:szCs w:val="20"/>
              </w:rPr>
              <w:t>1</w:t>
            </w:r>
            <w:r w:rsidRPr="004E4DEA">
              <w:rPr>
                <w:rFonts w:ascii="Rockwell" w:hAnsi="Rockwell"/>
                <w:sz w:val="20"/>
                <w:szCs w:val="20"/>
              </w:rPr>
              <w:t>%</w:t>
            </w:r>
          </w:p>
        </w:tc>
        <w:tc>
          <w:tcPr>
            <w:tcW w:w="0" w:type="auto"/>
            <w:tcBorders>
              <w:bottom w:val="single" w:sz="4" w:space="0" w:color="auto"/>
            </w:tcBorders>
          </w:tcPr>
          <w:p w14:paraId="2ED4D94B" w14:textId="77777777" w:rsidR="00A764BB" w:rsidRPr="004E4DEA" w:rsidRDefault="00A764BB" w:rsidP="003A0C21">
            <w:pPr>
              <w:rPr>
                <w:rFonts w:ascii="Rockwell" w:hAnsi="Rockwell"/>
                <w:sz w:val="20"/>
                <w:szCs w:val="20"/>
              </w:rPr>
            </w:pPr>
            <w:r w:rsidRPr="004E4DEA">
              <w:rPr>
                <w:rFonts w:ascii="Rockwell" w:hAnsi="Rockwell"/>
                <w:sz w:val="20"/>
                <w:szCs w:val="20"/>
              </w:rPr>
              <w:t>Number of children with completed professional dental examination</w:t>
            </w:r>
          </w:p>
        </w:tc>
        <w:tc>
          <w:tcPr>
            <w:tcW w:w="0" w:type="auto"/>
            <w:tcBorders>
              <w:bottom w:val="single" w:sz="4" w:space="0" w:color="auto"/>
            </w:tcBorders>
          </w:tcPr>
          <w:p w14:paraId="7E9B5090" w14:textId="77777777" w:rsidR="004E4DEA" w:rsidRPr="004E4DEA" w:rsidRDefault="00A764BB" w:rsidP="004E4DEA">
            <w:pPr>
              <w:rPr>
                <w:rFonts w:ascii="Rockwell" w:hAnsi="Rockwell"/>
                <w:sz w:val="20"/>
                <w:szCs w:val="20"/>
              </w:rPr>
            </w:pPr>
            <w:r w:rsidRPr="004E4DEA">
              <w:rPr>
                <w:rFonts w:ascii="Rockwell" w:hAnsi="Rockwell"/>
                <w:sz w:val="20"/>
                <w:szCs w:val="20"/>
              </w:rPr>
              <w:t>19</w:t>
            </w:r>
            <w:r w:rsidR="004E4DEA" w:rsidRPr="004E4DEA">
              <w:rPr>
                <w:rFonts w:ascii="Rockwell" w:hAnsi="Rockwell"/>
                <w:sz w:val="20"/>
                <w:szCs w:val="20"/>
              </w:rPr>
              <w:t>3</w:t>
            </w:r>
          </w:p>
          <w:p w14:paraId="558285B1" w14:textId="5C790457" w:rsidR="00A764BB" w:rsidRPr="004E4DEA" w:rsidRDefault="00A764BB" w:rsidP="004E4DEA">
            <w:pPr>
              <w:rPr>
                <w:rFonts w:ascii="Rockwell" w:hAnsi="Rockwell"/>
                <w:sz w:val="20"/>
                <w:szCs w:val="20"/>
              </w:rPr>
            </w:pPr>
            <w:r w:rsidRPr="004E4DEA">
              <w:rPr>
                <w:rFonts w:ascii="Rockwell" w:hAnsi="Rockwell"/>
                <w:sz w:val="20"/>
                <w:szCs w:val="20"/>
              </w:rPr>
              <w:t>8</w:t>
            </w:r>
            <w:r w:rsidR="004E4DEA" w:rsidRPr="004E4DEA">
              <w:rPr>
                <w:rFonts w:ascii="Rockwell" w:hAnsi="Rockwell"/>
                <w:sz w:val="20"/>
                <w:szCs w:val="20"/>
              </w:rPr>
              <w:t>6</w:t>
            </w:r>
            <w:r w:rsidRPr="004E4DEA">
              <w:rPr>
                <w:rFonts w:ascii="Rockwell" w:hAnsi="Rockwell"/>
                <w:sz w:val="20"/>
                <w:szCs w:val="20"/>
              </w:rPr>
              <w:t>%</w:t>
            </w:r>
          </w:p>
        </w:tc>
      </w:tr>
      <w:tr w:rsidR="00A764BB" w:rsidRPr="00F366F6" w14:paraId="4A4C835D" w14:textId="77777777" w:rsidTr="003A0C21">
        <w:tc>
          <w:tcPr>
            <w:tcW w:w="0" w:type="auto"/>
            <w:shd w:val="clear" w:color="auto" w:fill="FFCC99"/>
          </w:tcPr>
          <w:p w14:paraId="0B2BE52D" w14:textId="77777777" w:rsidR="00A764BB" w:rsidRPr="004E4DEA" w:rsidRDefault="00A764BB" w:rsidP="003A0C21">
            <w:pPr>
              <w:rPr>
                <w:rFonts w:ascii="Rockwell" w:hAnsi="Rockwell"/>
                <w:sz w:val="20"/>
                <w:szCs w:val="20"/>
              </w:rPr>
            </w:pPr>
            <w:r w:rsidRPr="004E4DEA">
              <w:rPr>
                <w:rFonts w:ascii="Rockwell" w:hAnsi="Rockwell"/>
                <w:sz w:val="20"/>
                <w:szCs w:val="20"/>
              </w:rPr>
              <w:t>% of eligible children served</w:t>
            </w:r>
          </w:p>
        </w:tc>
        <w:tc>
          <w:tcPr>
            <w:tcW w:w="0" w:type="auto"/>
            <w:shd w:val="clear" w:color="auto" w:fill="FFCC99"/>
          </w:tcPr>
          <w:p w14:paraId="2E03A958" w14:textId="57B700A0" w:rsidR="00A764BB" w:rsidRPr="004E4DEA" w:rsidRDefault="00A764BB" w:rsidP="003A0C21">
            <w:pPr>
              <w:rPr>
                <w:rFonts w:ascii="Rockwell" w:hAnsi="Rockwell"/>
                <w:sz w:val="20"/>
                <w:szCs w:val="20"/>
              </w:rPr>
            </w:pPr>
            <w:r w:rsidRPr="004E4DEA">
              <w:rPr>
                <w:rFonts w:ascii="Rockwell" w:hAnsi="Rockwell"/>
                <w:sz w:val="20"/>
                <w:szCs w:val="20"/>
              </w:rPr>
              <w:t>8</w:t>
            </w:r>
            <w:r w:rsidR="004E4DEA" w:rsidRPr="004E4DEA">
              <w:rPr>
                <w:rFonts w:ascii="Rockwell" w:hAnsi="Rockwell"/>
                <w:sz w:val="20"/>
                <w:szCs w:val="20"/>
              </w:rPr>
              <w:t>5</w:t>
            </w:r>
            <w:r w:rsidRPr="004E4DEA">
              <w:rPr>
                <w:rFonts w:ascii="Rockwell" w:hAnsi="Rockwell"/>
                <w:sz w:val="20"/>
                <w:szCs w:val="20"/>
              </w:rPr>
              <w:t>%</w:t>
            </w:r>
          </w:p>
        </w:tc>
        <w:tc>
          <w:tcPr>
            <w:tcW w:w="0" w:type="auto"/>
            <w:shd w:val="clear" w:color="auto" w:fill="FFCC99"/>
          </w:tcPr>
          <w:p w14:paraId="5D845F12" w14:textId="77777777" w:rsidR="00A764BB" w:rsidRPr="004E4DEA" w:rsidRDefault="00A764BB" w:rsidP="003A0C21">
            <w:pPr>
              <w:rPr>
                <w:rFonts w:ascii="Rockwell" w:hAnsi="Rockwell"/>
                <w:sz w:val="20"/>
                <w:szCs w:val="20"/>
              </w:rPr>
            </w:pPr>
            <w:r w:rsidRPr="004E4DEA">
              <w:rPr>
                <w:rFonts w:ascii="Rockwell" w:hAnsi="Rockwell"/>
                <w:sz w:val="20"/>
                <w:szCs w:val="20"/>
              </w:rPr>
              <w:t>Of children examined, number needing treatment</w:t>
            </w:r>
          </w:p>
        </w:tc>
        <w:tc>
          <w:tcPr>
            <w:tcW w:w="0" w:type="auto"/>
            <w:shd w:val="clear" w:color="auto" w:fill="FFCC99"/>
          </w:tcPr>
          <w:p w14:paraId="3A402808" w14:textId="7A64D5F8" w:rsidR="00A764BB" w:rsidRPr="004E4DEA" w:rsidRDefault="00A764BB" w:rsidP="003A0C21">
            <w:pPr>
              <w:rPr>
                <w:rFonts w:ascii="Rockwell" w:hAnsi="Rockwell"/>
                <w:sz w:val="20"/>
                <w:szCs w:val="20"/>
              </w:rPr>
            </w:pPr>
            <w:r w:rsidRPr="004E4DEA">
              <w:rPr>
                <w:rFonts w:ascii="Rockwell" w:hAnsi="Rockwell"/>
                <w:sz w:val="20"/>
                <w:szCs w:val="20"/>
              </w:rPr>
              <w:t xml:space="preserve">  </w:t>
            </w:r>
            <w:r w:rsidR="004E4DEA" w:rsidRPr="004E4DEA">
              <w:rPr>
                <w:rFonts w:ascii="Rockwell" w:hAnsi="Rockwell"/>
                <w:sz w:val="20"/>
                <w:szCs w:val="20"/>
              </w:rPr>
              <w:t>73</w:t>
            </w:r>
          </w:p>
        </w:tc>
      </w:tr>
      <w:tr w:rsidR="00A764BB" w:rsidRPr="00F366F6" w14:paraId="4DEC954C" w14:textId="77777777" w:rsidTr="003A0C21">
        <w:tc>
          <w:tcPr>
            <w:tcW w:w="0" w:type="auto"/>
            <w:tcBorders>
              <w:bottom w:val="single" w:sz="4" w:space="0" w:color="auto"/>
            </w:tcBorders>
          </w:tcPr>
          <w:p w14:paraId="7458530F" w14:textId="77777777" w:rsidR="00A764BB" w:rsidRPr="004E4DEA" w:rsidRDefault="00A764BB" w:rsidP="003A0C21">
            <w:pPr>
              <w:rPr>
                <w:rFonts w:ascii="Rockwell" w:hAnsi="Rockwell"/>
                <w:sz w:val="20"/>
                <w:szCs w:val="20"/>
              </w:rPr>
            </w:pPr>
            <w:r w:rsidRPr="004E4DEA">
              <w:rPr>
                <w:rFonts w:ascii="Rockwell" w:hAnsi="Rockwell"/>
                <w:sz w:val="20"/>
                <w:szCs w:val="20"/>
              </w:rPr>
              <w:t>Number of children diagnosed with a disability</w:t>
            </w:r>
          </w:p>
        </w:tc>
        <w:tc>
          <w:tcPr>
            <w:tcW w:w="0" w:type="auto"/>
            <w:tcBorders>
              <w:bottom w:val="single" w:sz="4" w:space="0" w:color="auto"/>
            </w:tcBorders>
          </w:tcPr>
          <w:p w14:paraId="7B776334" w14:textId="507EB130" w:rsidR="00A764BB" w:rsidRPr="004E4DEA" w:rsidRDefault="00A764BB" w:rsidP="003A0C21">
            <w:pPr>
              <w:rPr>
                <w:rFonts w:ascii="Rockwell" w:hAnsi="Rockwell"/>
                <w:sz w:val="20"/>
                <w:szCs w:val="20"/>
              </w:rPr>
            </w:pPr>
            <w:r w:rsidRPr="004E4DEA">
              <w:rPr>
                <w:rFonts w:ascii="Rockwell" w:hAnsi="Rockwell"/>
                <w:sz w:val="20"/>
                <w:szCs w:val="20"/>
              </w:rPr>
              <w:t xml:space="preserve">  </w:t>
            </w:r>
            <w:r w:rsidR="004E4DEA" w:rsidRPr="004E4DEA">
              <w:rPr>
                <w:rFonts w:ascii="Rockwell" w:hAnsi="Rockwell"/>
                <w:sz w:val="20"/>
                <w:szCs w:val="20"/>
              </w:rPr>
              <w:t>35</w:t>
            </w:r>
          </w:p>
        </w:tc>
        <w:tc>
          <w:tcPr>
            <w:tcW w:w="0" w:type="auto"/>
            <w:tcBorders>
              <w:bottom w:val="single" w:sz="4" w:space="0" w:color="auto"/>
            </w:tcBorders>
          </w:tcPr>
          <w:p w14:paraId="2E25AC5D" w14:textId="77777777" w:rsidR="00A764BB" w:rsidRPr="004E4DEA" w:rsidRDefault="00A764BB" w:rsidP="003A0C21">
            <w:pPr>
              <w:rPr>
                <w:rFonts w:ascii="Rockwell" w:hAnsi="Rockwell"/>
                <w:sz w:val="20"/>
                <w:szCs w:val="20"/>
              </w:rPr>
            </w:pPr>
            <w:r w:rsidRPr="004E4DEA">
              <w:rPr>
                <w:rFonts w:ascii="Rockwell" w:hAnsi="Rockwell"/>
                <w:sz w:val="20"/>
                <w:szCs w:val="20"/>
              </w:rPr>
              <w:t>Number of children receiving treatment</w:t>
            </w:r>
          </w:p>
        </w:tc>
        <w:tc>
          <w:tcPr>
            <w:tcW w:w="0" w:type="auto"/>
            <w:tcBorders>
              <w:bottom w:val="single" w:sz="4" w:space="0" w:color="auto"/>
            </w:tcBorders>
          </w:tcPr>
          <w:p w14:paraId="765249F8" w14:textId="2E9CDE89" w:rsidR="00A764BB" w:rsidRPr="004E4DEA" w:rsidRDefault="00A764BB" w:rsidP="003A0C21">
            <w:pPr>
              <w:rPr>
                <w:rFonts w:ascii="Rockwell" w:hAnsi="Rockwell"/>
                <w:sz w:val="20"/>
                <w:szCs w:val="20"/>
              </w:rPr>
            </w:pPr>
            <w:r w:rsidRPr="004E4DEA">
              <w:rPr>
                <w:rFonts w:ascii="Rockwell" w:hAnsi="Rockwell"/>
                <w:sz w:val="20"/>
                <w:szCs w:val="20"/>
              </w:rPr>
              <w:t xml:space="preserve">  </w:t>
            </w:r>
            <w:r w:rsidR="004E4DEA" w:rsidRPr="004E4DEA">
              <w:rPr>
                <w:rFonts w:ascii="Rockwell" w:hAnsi="Rockwell"/>
                <w:sz w:val="20"/>
                <w:szCs w:val="20"/>
              </w:rPr>
              <w:t>57</w:t>
            </w:r>
          </w:p>
        </w:tc>
      </w:tr>
      <w:tr w:rsidR="00A764BB" w:rsidRPr="00ED6375" w14:paraId="5C339E52" w14:textId="77777777" w:rsidTr="003A0C21">
        <w:tc>
          <w:tcPr>
            <w:tcW w:w="0" w:type="auto"/>
            <w:shd w:val="clear" w:color="auto" w:fill="FFCC99"/>
          </w:tcPr>
          <w:p w14:paraId="08285529" w14:textId="77777777" w:rsidR="00A764BB" w:rsidRPr="004E4DEA" w:rsidRDefault="00A764BB" w:rsidP="003A0C21">
            <w:pPr>
              <w:rPr>
                <w:rFonts w:ascii="Rockwell" w:hAnsi="Rockwell"/>
                <w:sz w:val="20"/>
                <w:szCs w:val="20"/>
              </w:rPr>
            </w:pPr>
            <w:r w:rsidRPr="004E4DEA">
              <w:rPr>
                <w:rFonts w:ascii="Rockwell" w:hAnsi="Rockwell"/>
                <w:sz w:val="20"/>
                <w:szCs w:val="20"/>
              </w:rPr>
              <w:t>Number of children up-to-date with age appropriate preventive and primary health care</w:t>
            </w:r>
          </w:p>
        </w:tc>
        <w:tc>
          <w:tcPr>
            <w:tcW w:w="0" w:type="auto"/>
            <w:shd w:val="clear" w:color="auto" w:fill="FFCC99"/>
          </w:tcPr>
          <w:p w14:paraId="0E57C37D" w14:textId="3538D833" w:rsidR="00A764BB" w:rsidRPr="004E4DEA" w:rsidRDefault="00A764BB" w:rsidP="003A0C21">
            <w:pPr>
              <w:rPr>
                <w:rFonts w:ascii="Rockwell" w:hAnsi="Rockwell"/>
                <w:sz w:val="20"/>
                <w:szCs w:val="20"/>
              </w:rPr>
            </w:pPr>
            <w:r w:rsidRPr="004E4DEA">
              <w:rPr>
                <w:rFonts w:ascii="Rockwell" w:hAnsi="Rockwell"/>
                <w:sz w:val="20"/>
                <w:szCs w:val="20"/>
              </w:rPr>
              <w:t>23</w:t>
            </w:r>
            <w:r w:rsidR="004E4DEA" w:rsidRPr="004E4DEA">
              <w:rPr>
                <w:rFonts w:ascii="Rockwell" w:hAnsi="Rockwell"/>
                <w:sz w:val="20"/>
                <w:szCs w:val="20"/>
              </w:rPr>
              <w:t>0</w:t>
            </w:r>
          </w:p>
          <w:p w14:paraId="57F351B9" w14:textId="64CD6C28" w:rsidR="00A764BB" w:rsidRPr="004E4DEA" w:rsidRDefault="00A764BB" w:rsidP="003A0C21">
            <w:pPr>
              <w:rPr>
                <w:rFonts w:ascii="Rockwell" w:hAnsi="Rockwell"/>
                <w:sz w:val="20"/>
                <w:szCs w:val="20"/>
              </w:rPr>
            </w:pPr>
            <w:r w:rsidRPr="004E4DEA">
              <w:rPr>
                <w:rFonts w:ascii="Rockwell" w:hAnsi="Rockwell"/>
                <w:sz w:val="20"/>
                <w:szCs w:val="20"/>
              </w:rPr>
              <w:t>10</w:t>
            </w:r>
            <w:r w:rsidR="004E4DEA" w:rsidRPr="004E4DEA">
              <w:rPr>
                <w:rFonts w:ascii="Rockwell" w:hAnsi="Rockwell"/>
                <w:sz w:val="20"/>
                <w:szCs w:val="20"/>
              </w:rPr>
              <w:t>2</w:t>
            </w:r>
            <w:r w:rsidRPr="004E4DEA">
              <w:rPr>
                <w:rFonts w:ascii="Rockwell" w:hAnsi="Rockwell"/>
                <w:sz w:val="20"/>
                <w:szCs w:val="20"/>
              </w:rPr>
              <w:t>%</w:t>
            </w:r>
          </w:p>
        </w:tc>
        <w:tc>
          <w:tcPr>
            <w:tcW w:w="0" w:type="auto"/>
            <w:shd w:val="clear" w:color="auto" w:fill="FFCC99"/>
          </w:tcPr>
          <w:p w14:paraId="2C9312B4" w14:textId="77777777" w:rsidR="00A764BB" w:rsidRPr="004E4DEA" w:rsidRDefault="00A764BB" w:rsidP="003A0C21">
            <w:pPr>
              <w:rPr>
                <w:rFonts w:ascii="Rockwell" w:hAnsi="Rockwell"/>
                <w:sz w:val="20"/>
                <w:szCs w:val="20"/>
              </w:rPr>
            </w:pPr>
            <w:r w:rsidRPr="004E4DEA">
              <w:rPr>
                <w:rFonts w:ascii="Rockwell" w:hAnsi="Rockwell"/>
                <w:sz w:val="20"/>
                <w:szCs w:val="20"/>
              </w:rPr>
              <w:t>Number of families who participated in a Family Partnership and Goal setting process</w:t>
            </w:r>
          </w:p>
        </w:tc>
        <w:tc>
          <w:tcPr>
            <w:tcW w:w="0" w:type="auto"/>
            <w:shd w:val="clear" w:color="auto" w:fill="FFCC99"/>
          </w:tcPr>
          <w:p w14:paraId="21415DD5" w14:textId="766A1574" w:rsidR="00A764BB" w:rsidRPr="004E4DEA" w:rsidRDefault="00A764BB" w:rsidP="003A0C21">
            <w:pPr>
              <w:rPr>
                <w:rFonts w:ascii="Rockwell" w:hAnsi="Rockwell"/>
                <w:sz w:val="20"/>
                <w:szCs w:val="20"/>
              </w:rPr>
            </w:pPr>
            <w:r w:rsidRPr="004E4DEA">
              <w:rPr>
                <w:rFonts w:ascii="Rockwell" w:hAnsi="Rockwell"/>
                <w:sz w:val="20"/>
                <w:szCs w:val="20"/>
              </w:rPr>
              <w:t>22</w:t>
            </w:r>
            <w:r w:rsidR="004E4DEA" w:rsidRPr="004E4DEA">
              <w:rPr>
                <w:rFonts w:ascii="Rockwell" w:hAnsi="Rockwell"/>
                <w:sz w:val="20"/>
                <w:szCs w:val="20"/>
              </w:rPr>
              <w:t>6</w:t>
            </w:r>
          </w:p>
          <w:p w14:paraId="63B97112" w14:textId="6A3C5E2A" w:rsidR="00A764BB" w:rsidRPr="004E4DEA" w:rsidRDefault="00A764BB" w:rsidP="003A0C21">
            <w:pPr>
              <w:rPr>
                <w:rFonts w:ascii="Rockwell" w:hAnsi="Rockwell"/>
                <w:sz w:val="20"/>
                <w:szCs w:val="20"/>
              </w:rPr>
            </w:pPr>
            <w:r w:rsidRPr="004E4DEA">
              <w:rPr>
                <w:rFonts w:ascii="Rockwell" w:hAnsi="Rockwell"/>
                <w:sz w:val="20"/>
                <w:szCs w:val="20"/>
              </w:rPr>
              <w:t>10</w:t>
            </w:r>
            <w:r w:rsidR="004E4DEA" w:rsidRPr="004E4DEA">
              <w:rPr>
                <w:rFonts w:ascii="Rockwell" w:hAnsi="Rockwell"/>
                <w:sz w:val="20"/>
                <w:szCs w:val="20"/>
              </w:rPr>
              <w:t>1</w:t>
            </w:r>
            <w:r w:rsidRPr="004E4DEA">
              <w:rPr>
                <w:rFonts w:ascii="Rockwell" w:hAnsi="Rockwell"/>
                <w:sz w:val="20"/>
                <w:szCs w:val="20"/>
              </w:rPr>
              <w:t>%</w:t>
            </w:r>
          </w:p>
        </w:tc>
      </w:tr>
    </w:tbl>
    <w:p w14:paraId="434DA760" w14:textId="77777777" w:rsidR="00A764BB" w:rsidRPr="004736E1" w:rsidRDefault="00A764BB" w:rsidP="00A764BB">
      <w:pPr>
        <w:rPr>
          <w:rFonts w:ascii="Rockwell" w:hAnsi="Rockwell"/>
        </w:rPr>
      </w:pPr>
    </w:p>
    <w:p w14:paraId="5342143E" w14:textId="3211CBAC" w:rsidR="00A764BB" w:rsidRPr="00DA4BA1" w:rsidRDefault="00A764BB" w:rsidP="00A764BB">
      <w:pPr>
        <w:rPr>
          <w:b/>
          <w:i/>
        </w:rPr>
      </w:pPr>
      <w:r>
        <w:rPr>
          <w:b/>
          <w:i/>
        </w:rPr>
        <w:t xml:space="preserve">Parent Involvement </w:t>
      </w:r>
      <w:r w:rsidRPr="00DA4BA1">
        <w:rPr>
          <w:b/>
          <w:i/>
        </w:rPr>
        <w:t>Activities</w:t>
      </w:r>
      <w:r w:rsidR="00DA4BA1">
        <w:t xml:space="preserve"> – </w:t>
      </w:r>
      <w:r w:rsidRPr="00DA4BA1">
        <w:t>Delaware</w:t>
      </w:r>
      <w:r w:rsidRPr="008D7FF0">
        <w:t xml:space="preserve"> Opportunities Inc. strongly believes that the parent is the child’s primary teacher and, as such, encourages strong parent involvement in a variety of ways</w:t>
      </w:r>
      <w:r>
        <w:t xml:space="preserve">.  </w:t>
      </w:r>
      <w:r w:rsidR="00C90F99">
        <w:t>The Program’s</w:t>
      </w:r>
      <w:r>
        <w:t xml:space="preserve"> annual ‘Day of the Young Child’ celebration is an event that a Policy Council Committee plans activities and all the children, and their families are invited to participate.  Some other activities of engagement are as follows:</w:t>
      </w:r>
    </w:p>
    <w:p w14:paraId="290F6FA2" w14:textId="77777777" w:rsidR="00A764BB" w:rsidRPr="00943A7B" w:rsidRDefault="00A764BB" w:rsidP="00A764BB"/>
    <w:p w14:paraId="5D6BC2AC" w14:textId="77777777" w:rsidR="00C90F99" w:rsidRDefault="00C90F99" w:rsidP="00A764BB">
      <w:pPr>
        <w:rPr>
          <w:b/>
        </w:rPr>
      </w:pPr>
    </w:p>
    <w:p w14:paraId="503A5CE9" w14:textId="12262BD2" w:rsidR="00A764BB" w:rsidRPr="008D7FF0" w:rsidRDefault="00A764BB" w:rsidP="00A764BB">
      <w:pPr>
        <w:rPr>
          <w:b/>
        </w:rPr>
      </w:pPr>
      <w:r w:rsidRPr="008D7FF0">
        <w:rPr>
          <w:b/>
        </w:rPr>
        <w:t>Policy Council</w:t>
      </w:r>
      <w:r w:rsidRPr="008D7FF0">
        <w:rPr>
          <w:b/>
        </w:rPr>
        <w:tab/>
        <w:t xml:space="preserve">    </w:t>
      </w:r>
      <w:r w:rsidRPr="008D7FF0">
        <w:rPr>
          <w:b/>
        </w:rPr>
        <w:tab/>
        <w:t>Classroom Volunteers</w:t>
      </w:r>
      <w:r w:rsidRPr="008D7FF0">
        <w:rPr>
          <w:b/>
        </w:rPr>
        <w:tab/>
        <w:t xml:space="preserve">        Read to Me Program    </w:t>
      </w:r>
    </w:p>
    <w:p w14:paraId="6A0B4649" w14:textId="77777777" w:rsidR="00A764BB" w:rsidRPr="008D7FF0" w:rsidRDefault="00A764BB" w:rsidP="00A764BB">
      <w:pPr>
        <w:rPr>
          <w:b/>
        </w:rPr>
      </w:pPr>
      <w:r w:rsidRPr="008D7FF0">
        <w:rPr>
          <w:b/>
        </w:rPr>
        <w:t xml:space="preserve">Parent Groups </w:t>
      </w:r>
      <w:r w:rsidRPr="008D7FF0">
        <w:rPr>
          <w:b/>
        </w:rPr>
        <w:tab/>
      </w:r>
      <w:r w:rsidRPr="008D7FF0">
        <w:rPr>
          <w:b/>
        </w:rPr>
        <w:tab/>
        <w:t>Kitchen Volunteers</w:t>
      </w:r>
      <w:r w:rsidRPr="008D7FF0">
        <w:rPr>
          <w:b/>
        </w:rPr>
        <w:tab/>
      </w:r>
      <w:r w:rsidRPr="008D7FF0">
        <w:rPr>
          <w:b/>
        </w:rPr>
        <w:tab/>
        <w:t xml:space="preserve"> </w:t>
      </w:r>
      <w:r>
        <w:rPr>
          <w:b/>
        </w:rPr>
        <w:t xml:space="preserve">       Parent Workshops</w:t>
      </w:r>
    </w:p>
    <w:p w14:paraId="4D945116" w14:textId="77777777" w:rsidR="00A764BB" w:rsidRPr="008D7FF0" w:rsidRDefault="00A764BB" w:rsidP="00A764BB">
      <w:pPr>
        <w:rPr>
          <w:b/>
        </w:rPr>
      </w:pPr>
      <w:r w:rsidRPr="008D7FF0">
        <w:rPr>
          <w:b/>
        </w:rPr>
        <w:t>Lesson Planning</w:t>
      </w:r>
      <w:r w:rsidRPr="008D7FF0">
        <w:rPr>
          <w:b/>
        </w:rPr>
        <w:tab/>
      </w:r>
      <w:r w:rsidRPr="008D7FF0">
        <w:rPr>
          <w:b/>
        </w:rPr>
        <w:tab/>
        <w:t xml:space="preserve">Parent/Teacher Conferences     </w:t>
      </w:r>
      <w:r>
        <w:rPr>
          <w:b/>
        </w:rPr>
        <w:t xml:space="preserve">  Advisory Board</w:t>
      </w:r>
    </w:p>
    <w:p w14:paraId="4DF7886A" w14:textId="77777777" w:rsidR="00A764BB" w:rsidRPr="008D7FF0" w:rsidRDefault="00A764BB" w:rsidP="00A764BB">
      <w:pPr>
        <w:rPr>
          <w:b/>
        </w:rPr>
      </w:pPr>
      <w:r w:rsidRPr="008D7FF0">
        <w:rPr>
          <w:b/>
        </w:rPr>
        <w:t xml:space="preserve">Curriculum </w:t>
      </w:r>
      <w:r>
        <w:rPr>
          <w:b/>
        </w:rPr>
        <w:t>Ideas</w:t>
      </w:r>
      <w:r w:rsidRPr="008D7FF0">
        <w:rPr>
          <w:b/>
        </w:rPr>
        <w:tab/>
      </w:r>
      <w:r w:rsidRPr="008D7FF0">
        <w:rPr>
          <w:b/>
        </w:rPr>
        <w:tab/>
        <w:t>1234 Parents! Program</w:t>
      </w:r>
      <w:r>
        <w:rPr>
          <w:b/>
        </w:rPr>
        <w:tab/>
        <w:t xml:space="preserve">        Strengthening Families</w:t>
      </w:r>
    </w:p>
    <w:p w14:paraId="2C393907" w14:textId="77777777" w:rsidR="00A764BB" w:rsidRDefault="00A764BB" w:rsidP="00A764BB">
      <w:pPr>
        <w:rPr>
          <w:b/>
        </w:rPr>
      </w:pPr>
      <w:r>
        <w:rPr>
          <w:b/>
        </w:rPr>
        <w:t>Family Fun Days</w:t>
      </w:r>
      <w:r>
        <w:rPr>
          <w:b/>
        </w:rPr>
        <w:tab/>
        <w:t xml:space="preserve">        </w:t>
      </w:r>
      <w:r>
        <w:rPr>
          <w:b/>
        </w:rPr>
        <w:tab/>
        <w:t>Field Trips</w:t>
      </w:r>
      <w:r>
        <w:rPr>
          <w:b/>
        </w:rPr>
        <w:tab/>
      </w:r>
      <w:r>
        <w:rPr>
          <w:b/>
        </w:rPr>
        <w:tab/>
      </w:r>
      <w:r>
        <w:rPr>
          <w:b/>
        </w:rPr>
        <w:tab/>
        <w:t xml:space="preserve">        Classroom Picture Day</w:t>
      </w:r>
    </w:p>
    <w:p w14:paraId="2A4D9850" w14:textId="77777777" w:rsidR="00A764BB" w:rsidRDefault="00A764BB" w:rsidP="00A764BB">
      <w:pPr>
        <w:rPr>
          <w:b/>
        </w:rPr>
      </w:pPr>
      <w:r>
        <w:rPr>
          <w:b/>
        </w:rPr>
        <w:t>School Readiness and Family</w:t>
      </w:r>
      <w:r w:rsidRPr="008D7FF0">
        <w:rPr>
          <w:b/>
        </w:rPr>
        <w:t xml:space="preserve"> Home Activities    </w:t>
      </w:r>
      <w:r>
        <w:rPr>
          <w:b/>
        </w:rPr>
        <w:tab/>
        <w:t xml:space="preserve">      </w:t>
      </w:r>
      <w:r w:rsidRPr="008D7FF0">
        <w:rPr>
          <w:b/>
        </w:rPr>
        <w:t>Discipline Is Not A Dirty Wor</w:t>
      </w:r>
      <w:r>
        <w:rPr>
          <w:b/>
        </w:rPr>
        <w:t xml:space="preserve">d  </w:t>
      </w:r>
    </w:p>
    <w:p w14:paraId="212DFBFC" w14:textId="77777777" w:rsidR="00C30668" w:rsidRDefault="00C30668"/>
    <w:sectPr w:rsidR="00C30668" w:rsidSect="00C029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BB"/>
    <w:rsid w:val="000C7787"/>
    <w:rsid w:val="002161F9"/>
    <w:rsid w:val="004E4DEA"/>
    <w:rsid w:val="0061363E"/>
    <w:rsid w:val="00620E71"/>
    <w:rsid w:val="00A07A65"/>
    <w:rsid w:val="00A764BB"/>
    <w:rsid w:val="00BA079E"/>
    <w:rsid w:val="00C30668"/>
    <w:rsid w:val="00C90F99"/>
    <w:rsid w:val="00CD262B"/>
    <w:rsid w:val="00DA4BA1"/>
    <w:rsid w:val="00DB68F1"/>
    <w:rsid w:val="00E463C6"/>
    <w:rsid w:val="00F3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824A"/>
  <w15:chartTrackingRefBased/>
  <w15:docId w15:val="{3AB95B99-51A1-4DFB-9D99-2F85B44F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K_H K_H</dc:creator>
  <cp:keywords/>
  <dc:description/>
  <cp:lastModifiedBy>Rose Cibelli</cp:lastModifiedBy>
  <cp:revision>17</cp:revision>
  <cp:lastPrinted>2019-08-20T12:29:00Z</cp:lastPrinted>
  <dcterms:created xsi:type="dcterms:W3CDTF">2019-06-04T00:16:00Z</dcterms:created>
  <dcterms:modified xsi:type="dcterms:W3CDTF">2019-08-20T12:33:00Z</dcterms:modified>
</cp:coreProperties>
</file>